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4BBC" w:rsidRPr="00CC1241" w:rsidRDefault="00B34E0B" w:rsidP="009D08E6">
      <w:pPr>
        <w:tabs>
          <w:tab w:val="right" w:pos="9424"/>
        </w:tabs>
        <w:ind w:right="23"/>
        <w:rPr>
          <w:rFonts w:ascii="Palatino Linotype" w:hAnsi="Palatino Linotype"/>
          <w:sz w:val="19"/>
          <w:szCs w:val="19"/>
        </w:rPr>
      </w:pPr>
      <w:r w:rsidRPr="00CC1241">
        <w:rPr>
          <w:rFonts w:ascii="Palatino Linotype" w:hAnsi="Palatino Linotype" w:cs="Tahoma"/>
          <w:b/>
          <w:noProof/>
          <w:sz w:val="19"/>
          <w:szCs w:val="19"/>
          <w:lang w:eastAsia="es-ES"/>
        </w:rPr>
        <w:drawing>
          <wp:anchor distT="0" distB="0" distL="114300" distR="114300" simplePos="0" relativeHeight="251656192" behindDoc="1" locked="0" layoutInCell="1" allowOverlap="1">
            <wp:simplePos x="0" y="0"/>
            <wp:positionH relativeFrom="column">
              <wp:posOffset>-1238719</wp:posOffset>
            </wp:positionH>
            <wp:positionV relativeFrom="paragraph">
              <wp:posOffset>-1111885</wp:posOffset>
            </wp:positionV>
            <wp:extent cx="863544" cy="10893287"/>
            <wp:effectExtent l="19050" t="0" r="0" b="0"/>
            <wp:wrapNone/>
            <wp:docPr id="3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 cstate="print"/>
                    <a:srcRect/>
                    <a:stretch>
                      <a:fillRect/>
                    </a:stretch>
                  </pic:blipFill>
                  <pic:spPr bwMode="auto">
                    <a:xfrm>
                      <a:off x="0" y="0"/>
                      <a:ext cx="863544" cy="10893287"/>
                    </a:xfrm>
                    <a:prstGeom prst="rect">
                      <a:avLst/>
                    </a:prstGeom>
                    <a:noFill/>
                    <a:ln w="9525">
                      <a:noFill/>
                      <a:miter lim="800000"/>
                      <a:headEnd/>
                      <a:tailEnd/>
                    </a:ln>
                  </pic:spPr>
                </pic:pic>
              </a:graphicData>
            </a:graphic>
          </wp:anchor>
        </w:drawing>
      </w:r>
      <w:r w:rsidR="00D52ECF" w:rsidRPr="00CC1241">
        <w:rPr>
          <w:rFonts w:ascii="Palatino Linotype" w:hAnsi="Palatino Linotype"/>
          <w:b/>
          <w:sz w:val="19"/>
          <w:szCs w:val="19"/>
        </w:rPr>
        <w:t>Contenido:</w:t>
      </w:r>
      <w:r w:rsidR="00D52ECF" w:rsidRPr="00CC1241">
        <w:rPr>
          <w:rFonts w:ascii="Palatino Linotype" w:hAnsi="Palatino Linotype"/>
          <w:sz w:val="19"/>
          <w:szCs w:val="19"/>
        </w:rPr>
        <w:t xml:space="preserve"> </w:t>
      </w:r>
    </w:p>
    <w:p w:rsidR="00D534B5" w:rsidRDefault="00B34E0B" w:rsidP="00D534B5">
      <w:pPr>
        <w:tabs>
          <w:tab w:val="right" w:pos="9424"/>
        </w:tabs>
        <w:ind w:right="-979"/>
        <w:rPr>
          <w:rFonts w:ascii="Palatino Linotype" w:hAnsi="Palatino Linotype"/>
          <w:noProof/>
          <w:sz w:val="18"/>
          <w:szCs w:val="18"/>
          <w:lang w:val="es-UY" w:eastAsia="en-US"/>
        </w:rPr>
      </w:pPr>
      <w:r w:rsidRPr="00945AFA">
        <w:rPr>
          <w:rFonts w:ascii="Palatino Linotype" w:hAnsi="Palatino Linotype"/>
          <w:noProof/>
          <w:sz w:val="18"/>
          <w:szCs w:val="18"/>
          <w:lang w:eastAsia="es-ES"/>
        </w:rPr>
        <w:drawing>
          <wp:anchor distT="0" distB="0" distL="114935" distR="114935" simplePos="0" relativeHeight="251651072" behindDoc="0" locked="0" layoutInCell="1" allowOverlap="1">
            <wp:simplePos x="0" y="0"/>
            <wp:positionH relativeFrom="page">
              <wp:posOffset>-10654665</wp:posOffset>
            </wp:positionH>
            <wp:positionV relativeFrom="page">
              <wp:posOffset>2426970</wp:posOffset>
            </wp:positionV>
            <wp:extent cx="897255" cy="10689590"/>
            <wp:effectExtent l="19050" t="0" r="0" b="0"/>
            <wp:wrapNone/>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 cstate="print"/>
                    <a:srcRect l="30222" r="57904"/>
                    <a:stretch>
                      <a:fillRect/>
                    </a:stretch>
                  </pic:blipFill>
                  <pic:spPr bwMode="auto">
                    <a:xfrm>
                      <a:off x="0" y="0"/>
                      <a:ext cx="897255" cy="10689590"/>
                    </a:xfrm>
                    <a:prstGeom prst="rect">
                      <a:avLst/>
                    </a:prstGeom>
                    <a:solidFill>
                      <a:srgbClr val="FFFFFF"/>
                    </a:solidFill>
                    <a:ln w="9525">
                      <a:noFill/>
                      <a:miter lim="800000"/>
                      <a:headEnd/>
                      <a:tailEnd/>
                    </a:ln>
                  </pic:spPr>
                </pic:pic>
              </a:graphicData>
            </a:graphic>
          </wp:anchor>
        </w:drawing>
      </w:r>
      <w:r w:rsidR="00785E66" w:rsidRPr="00785E66">
        <w:rPr>
          <w:rFonts w:ascii="Palatino Linotype" w:hAnsi="Palatino Linotype"/>
          <w:noProof/>
          <w:sz w:val="18"/>
          <w:szCs w:val="18"/>
          <w:lang w:val="es-UY" w:eastAsia="en-US"/>
        </w:rPr>
        <w:t xml:space="preserve">- </w:t>
      </w:r>
      <w:r w:rsidR="00D73A0D" w:rsidRPr="00D73A0D">
        <w:rPr>
          <w:rFonts w:ascii="Palatino Linotype" w:hAnsi="Palatino Linotype"/>
          <w:noProof/>
          <w:sz w:val="18"/>
          <w:szCs w:val="18"/>
          <w:lang w:val="es-UY" w:eastAsia="en-US"/>
        </w:rPr>
        <w:t>Continúa la moderación de la inflación tendencial</w:t>
      </w:r>
    </w:p>
    <w:p w:rsidR="00484EC8" w:rsidRPr="00CC1241" w:rsidRDefault="00484EC8" w:rsidP="00484EC8">
      <w:pPr>
        <w:tabs>
          <w:tab w:val="right" w:pos="9424"/>
        </w:tabs>
        <w:ind w:right="-513"/>
        <w:rPr>
          <w:rFonts w:ascii="Palatino Linotype" w:hAnsi="Palatino Linotype"/>
          <w:sz w:val="18"/>
          <w:szCs w:val="18"/>
        </w:rPr>
      </w:pPr>
      <w:r w:rsidRPr="00945AFA">
        <w:rPr>
          <w:rFonts w:ascii="Palatino Linotype" w:eastAsia="Palatino Linotype" w:hAnsi="Palatino Linotype" w:cs="Palatino Linotype"/>
          <w:sz w:val="18"/>
          <w:szCs w:val="18"/>
        </w:rPr>
        <w:t>-</w:t>
      </w:r>
      <w:r>
        <w:rPr>
          <w:rFonts w:ascii="Palatino Linotype" w:eastAsia="Palatino Linotype" w:hAnsi="Palatino Linotype" w:cs="Palatino Linotype"/>
          <w:sz w:val="18"/>
          <w:szCs w:val="18"/>
        </w:rPr>
        <w:t xml:space="preserve"> Actualización del diagnóstico de inflación </w:t>
      </w:r>
    </w:p>
    <w:p w:rsidR="00221FAE" w:rsidRDefault="007D4BBC" w:rsidP="00221FAE">
      <w:pPr>
        <w:spacing w:after="60"/>
        <w:ind w:right="23"/>
        <w:jc w:val="right"/>
        <w:rPr>
          <w:b/>
        </w:rPr>
      </w:pPr>
      <w:r w:rsidRPr="00CC1241">
        <w:rPr>
          <w:b/>
        </w:rPr>
        <w:lastRenderedPageBreak/>
        <w:t xml:space="preserve">Nº </w:t>
      </w:r>
      <w:r w:rsidR="00D73A0D">
        <w:rPr>
          <w:b/>
        </w:rPr>
        <w:t>170</w:t>
      </w:r>
    </w:p>
    <w:p w:rsidR="007D4BBC" w:rsidRPr="00402E33" w:rsidRDefault="00900852" w:rsidP="00221FAE">
      <w:pPr>
        <w:spacing w:after="60"/>
        <w:ind w:right="23"/>
        <w:jc w:val="right"/>
        <w:rPr>
          <w:b/>
        </w:rPr>
      </w:pPr>
      <w:r>
        <w:rPr>
          <w:b/>
        </w:rPr>
        <w:t>29</w:t>
      </w:r>
      <w:r w:rsidR="00532F3B">
        <w:rPr>
          <w:b/>
        </w:rPr>
        <w:t xml:space="preserve"> </w:t>
      </w:r>
      <w:r w:rsidR="00075CAE" w:rsidRPr="00402E33">
        <w:rPr>
          <w:b/>
        </w:rPr>
        <w:t>de</w:t>
      </w:r>
      <w:r w:rsidR="00D74665">
        <w:rPr>
          <w:b/>
        </w:rPr>
        <w:t xml:space="preserve"> </w:t>
      </w:r>
      <w:r w:rsidR="00D73A0D">
        <w:rPr>
          <w:b/>
        </w:rPr>
        <w:t xml:space="preserve">Agosto </w:t>
      </w:r>
      <w:r w:rsidR="00C36C12">
        <w:rPr>
          <w:b/>
        </w:rPr>
        <w:t>de 2016</w:t>
      </w:r>
      <w:r w:rsidR="00075CAE" w:rsidRPr="00402E33">
        <w:rPr>
          <w:b/>
        </w:rPr>
        <w:t xml:space="preserve"> </w:t>
      </w:r>
    </w:p>
    <w:p w:rsidR="001039EF" w:rsidRPr="00C42CAF" w:rsidRDefault="001039EF" w:rsidP="009D08E6">
      <w:pPr>
        <w:rPr>
          <w:highlight w:val="lightGray"/>
        </w:rPr>
        <w:sectPr w:rsidR="001039EF" w:rsidRPr="00C42CAF" w:rsidSect="001805F3">
          <w:headerReference w:type="default" r:id="rId10"/>
          <w:footerReference w:type="default" r:id="rId11"/>
          <w:pgSz w:w="11905" w:h="16837"/>
          <w:pgMar w:top="1701" w:right="551" w:bottom="617" w:left="1843" w:header="162" w:footer="277" w:gutter="0"/>
          <w:cols w:num="2" w:space="129"/>
          <w:docGrid w:linePitch="360"/>
        </w:sectPr>
      </w:pPr>
    </w:p>
    <w:p w:rsidR="00020AE4" w:rsidRPr="00020AE4" w:rsidRDefault="00020AE4" w:rsidP="00020AE4">
      <w:pPr>
        <w:pStyle w:val="Ttulo1"/>
        <w:numPr>
          <w:ilvl w:val="0"/>
          <w:numId w:val="0"/>
        </w:numPr>
        <w:pBdr>
          <w:top w:val="single" w:sz="8" w:space="0" w:color="800080"/>
        </w:pBdr>
        <w:spacing w:before="120" w:after="120"/>
        <w:jc w:val="center"/>
        <w:rPr>
          <w:rFonts w:ascii="Palatino Linotype" w:hAnsi="Palatino Linotype"/>
          <w:color w:val="800000"/>
          <w:sz w:val="24"/>
          <w:szCs w:val="22"/>
        </w:rPr>
      </w:pPr>
      <w:bookmarkStart w:id="0" w:name="_Hlk447122363"/>
      <w:r>
        <w:rPr>
          <w:rFonts w:ascii="Palatino Linotype" w:hAnsi="Palatino Linotype"/>
          <w:color w:val="800000"/>
          <w:sz w:val="24"/>
          <w:szCs w:val="22"/>
        </w:rPr>
        <w:lastRenderedPageBreak/>
        <w:t>Continúa la moderación de la inflación tendencial</w:t>
      </w:r>
    </w:p>
    <w:p w:rsidR="009F19F2" w:rsidRDefault="000340C1" w:rsidP="00020AE4">
      <w:pPr>
        <w:pStyle w:val="TextoII"/>
      </w:pPr>
      <w:r>
        <w:t xml:space="preserve">El Índice de Precios al Consumidor (IPC) registró en el mes de julio una suba de 0,39%, ubicándose por encima de nuestra proyección puntual (0,18%) y por debajo de la mediana de las expectativas del BCU (0,82%). </w:t>
      </w:r>
      <w:r w:rsidR="009F19F2">
        <w:t>La inflación interanual se ubicó en 10,0</w:t>
      </w:r>
      <w:r w:rsidR="00AB7B65">
        <w:t xml:space="preserve">5%, </w:t>
      </w:r>
      <w:r w:rsidR="007057D8">
        <w:t>reduciéndose en</w:t>
      </w:r>
      <w:r w:rsidR="00AB7B65">
        <w:t xml:space="preserve"> 0,89 pp. respecto </w:t>
      </w:r>
      <w:r w:rsidR="009F19F2">
        <w:t xml:space="preserve">a junio y </w:t>
      </w:r>
      <w:r w:rsidR="00AB7B65">
        <w:t xml:space="preserve">situándose </w:t>
      </w:r>
      <w:r w:rsidR="009F19F2">
        <w:t xml:space="preserve">así </w:t>
      </w:r>
      <w:r w:rsidR="00AB7B65">
        <w:t xml:space="preserve">en </w:t>
      </w:r>
      <w:r w:rsidR="009F19F2">
        <w:t xml:space="preserve">su valor más bajo desde enero. </w:t>
      </w:r>
    </w:p>
    <w:p w:rsidR="001759DA" w:rsidRDefault="009F19F2" w:rsidP="00020AE4">
      <w:pPr>
        <w:pStyle w:val="TextoII"/>
      </w:pPr>
      <w:r>
        <w:t>La discrepancia entre los datos observados y nuestras proyecciones se explic</w:t>
      </w:r>
      <w:r w:rsidR="007057D8">
        <w:t>an</w:t>
      </w:r>
      <w:r w:rsidR="00374419">
        <w:t xml:space="preserve"> </w:t>
      </w:r>
      <w:r w:rsidR="007057D8">
        <w:t>mayoritariamente</w:t>
      </w:r>
      <w:r>
        <w:t xml:space="preserve">, como en meses anteriores, por el comportamiento de los precios </w:t>
      </w:r>
      <w:r w:rsidR="000D5F98">
        <w:t xml:space="preserve">altamente volátiles </w:t>
      </w:r>
      <w:r>
        <w:t>de</w:t>
      </w:r>
      <w:r w:rsidR="00374419">
        <w:t xml:space="preserve"> los bienes que integran el componente residual del IPC, en particular</w:t>
      </w:r>
      <w:r>
        <w:t xml:space="preserve"> los Alimentos No Elaborados (ANE</w:t>
      </w:r>
      <w:r w:rsidR="00AB7B65">
        <w:t xml:space="preserve">) y </w:t>
      </w:r>
      <w:r w:rsidR="00374419">
        <w:t xml:space="preserve">dentro de éstos </w:t>
      </w:r>
      <w:r w:rsidR="00AB7B65">
        <w:t xml:space="preserve">las frutas y verduras. El componente </w:t>
      </w:r>
      <w:r w:rsidR="007057D8">
        <w:t xml:space="preserve">de </w:t>
      </w:r>
      <w:r w:rsidR="00AB7B65">
        <w:t>“Legumbres y Hortalizas”</w:t>
      </w:r>
      <w:r w:rsidR="007057D8">
        <w:t xml:space="preserve"> no registró el descenso de precios esperado</w:t>
      </w:r>
      <w:r w:rsidR="000D5F98">
        <w:t>,</w:t>
      </w:r>
      <w:r w:rsidR="007057D8">
        <w:t xml:space="preserve"> determinando que aún no se revierta el fuerte shock que sufrió este componente por razones climáticas en el mes de abril. En efecto, el componente </w:t>
      </w:r>
      <w:r w:rsidR="000D5F98">
        <w:t xml:space="preserve">ANE </w:t>
      </w:r>
      <w:r w:rsidR="007057D8">
        <w:t>para el que</w:t>
      </w:r>
      <w:r w:rsidR="000D5F98">
        <w:t xml:space="preserve"> se había proyectado una caída de 2,07% </w:t>
      </w:r>
      <w:r w:rsidR="007057D8">
        <w:t>registró un incremento de 0,17% en el mes</w:t>
      </w:r>
      <w:r w:rsidR="000D5F98">
        <w:t xml:space="preserve">. Debe destacarse, de todas formas, que existió alguna reversión del </w:t>
      </w:r>
      <w:r w:rsidR="000D5F98">
        <w:rPr>
          <w:i/>
        </w:rPr>
        <w:t xml:space="preserve">shock </w:t>
      </w:r>
      <w:r w:rsidR="000D5F98">
        <w:t xml:space="preserve">anterior para muchas verduras, aunque fue más tenue que la prevista. </w:t>
      </w:r>
      <w:r w:rsidR="00EB7CA2">
        <w:t xml:space="preserve">El nivel de precios del </w:t>
      </w:r>
      <w:r w:rsidR="000D5F98">
        <w:t xml:space="preserve">rubro “Legumbres y Hortalizas” </w:t>
      </w:r>
      <w:r w:rsidR="00EB7CA2">
        <w:t xml:space="preserve">disminuyó en </w:t>
      </w:r>
      <w:r w:rsidR="000D5F98">
        <w:t xml:space="preserve">1,61%, con </w:t>
      </w:r>
      <w:r w:rsidR="00EB7CA2">
        <w:t xml:space="preserve">caídas </w:t>
      </w:r>
      <w:r w:rsidR="000D5F98">
        <w:t xml:space="preserve">de </w:t>
      </w:r>
      <w:r w:rsidR="00EB7CA2">
        <w:t xml:space="preserve">16,99% y 14,69% para las acelgas y las lechugas respectivamente, </w:t>
      </w:r>
      <w:r w:rsidR="001759DA">
        <w:t xml:space="preserve">bienes </w:t>
      </w:r>
      <w:r w:rsidR="00EB7CA2">
        <w:t>que habían explicado gran parte del incremento observado en mayo.</w:t>
      </w:r>
      <w:r w:rsidR="00635796">
        <w:t xml:space="preserve"> Además de los precios discutidos, se observó un incremento no anticipado de 0,12% en los precios de los bienes energéticos (ENE), también pertenecientes al componente residual</w:t>
      </w:r>
      <w:r w:rsidR="007057D8">
        <w:t xml:space="preserve"> de la inflación</w:t>
      </w:r>
      <w:r w:rsidR="00635796">
        <w:t>, causado principalmente por un aumento de los combustibles sólidos.</w:t>
      </w:r>
      <w:r w:rsidR="008B5642">
        <w:t xml:space="preserve"> De esta manera, la inflación residual se ubicó en 0,13% en el mes de julio.</w:t>
      </w:r>
    </w:p>
    <w:p w:rsidR="00635796" w:rsidRDefault="008B5642" w:rsidP="00020AE4">
      <w:pPr>
        <w:pStyle w:val="TextoII"/>
      </w:pPr>
      <w:r>
        <w:t>El componente tendencial de la inflación</w:t>
      </w:r>
      <w:r w:rsidR="007057D8">
        <w:t xml:space="preserve"> está</w:t>
      </w:r>
      <w:r>
        <w:t xml:space="preserve"> depurado de los efectos de los precios más erráticos, por lo</w:t>
      </w:r>
      <w:r w:rsidR="005A526E">
        <w:t xml:space="preserve"> que constituye</w:t>
      </w:r>
      <w:r>
        <w:t xml:space="preserve"> un indicador más estable de la evolución del nivel de precios </w:t>
      </w:r>
      <w:r w:rsidR="00D73A0D">
        <w:t xml:space="preserve">en </w:t>
      </w:r>
      <w:r>
        <w:t xml:space="preserve">la economía. En el mes de julio la inflación tendencial se situó en 0,48%, por encima de la inflación mensual anterior pero en niveles claramente moderados, en virtud de la tendencia a la apreciación del peso. </w:t>
      </w:r>
      <w:r w:rsidR="00F05565">
        <w:t>Así, se ubicó por debajo del 10% en términos interanuales (fue de 9,68%) por primera vez en el año. Esta moderación</w:t>
      </w:r>
      <w:r>
        <w:t xml:space="preserve"> de la inflación tendencial y </w:t>
      </w:r>
      <w:r w:rsidR="005A526E">
        <w:t xml:space="preserve">caída del </w:t>
      </w:r>
      <w:r>
        <w:t>tipo de cambio</w:t>
      </w:r>
      <w:r w:rsidR="005A526E">
        <w:t xml:space="preserve"> son similares a lo registrado</w:t>
      </w:r>
      <w:r w:rsidR="00D73A0D">
        <w:t xml:space="preserve"> en meses anteriores. La inflación de los distintos rubros al interior del componente estuvo estrechamente alineada con nuestras proyecciones, con la excepción del subcomponente Servicios Administrados (SERVA), que verificó un incremento de 0,83% en su nivel de precios cuando se había proyectado una suba de 2%. Esta discrepancia estuvo dada principalmente por </w:t>
      </w:r>
      <w:r w:rsidR="00F05565">
        <w:t>un aumento inferior al proyecta</w:t>
      </w:r>
      <w:r w:rsidR="00611E53">
        <w:t>do para los precios de la salud.</w:t>
      </w:r>
      <w:r w:rsidR="00F05565">
        <w:t xml:space="preserve"> </w:t>
      </w:r>
    </w:p>
    <w:p w:rsidR="009E0618" w:rsidRDefault="005A526E" w:rsidP="00020AE4">
      <w:pPr>
        <w:pStyle w:val="TextoII"/>
      </w:pPr>
      <w:r>
        <w:t>Como se indicó, la apreciación del peso fue determinante para la moderación de la inflación tendencial, por sus efectos sobre los precios de los bienes</w:t>
      </w:r>
      <w:r w:rsidR="009E0618">
        <w:t xml:space="preserve"> y servicios</w:t>
      </w:r>
      <w:r>
        <w:t xml:space="preserve"> transables, de gran peso en el componente. La cotización del dólar</w:t>
      </w:r>
      <w:r w:rsidR="005B654C">
        <w:t xml:space="preserve"> de fin de mes se redujo por quinto mes consecutivo, cayendo 2,6% en julio. De esta manera la inflación transable cayó a 8,47% en términos interanuales, en tanto la inflación no transable, determinada por factores internos, se situó en 11,29%. </w:t>
      </w:r>
      <w:r w:rsidR="00DC7B36">
        <w:t>Es de notar, no obstante, que ésta también registró una caída, luego de haberse situado en 11,95% en junio,</w:t>
      </w:r>
      <w:r w:rsidR="00FF2593">
        <w:t xml:space="preserve"> causada</w:t>
      </w:r>
      <w:r w:rsidR="00DC7B36">
        <w:t xml:space="preserve"> en gran parte por la baja inflación </w:t>
      </w:r>
      <w:r w:rsidR="0064343C">
        <w:t xml:space="preserve">mensual </w:t>
      </w:r>
      <w:r w:rsidR="00DC7B36">
        <w:t>para los rubros ANE y “Otros Servicios No Transables</w:t>
      </w:r>
      <w:r w:rsidR="009E0618">
        <w:t>” (SERVONT).</w:t>
      </w:r>
    </w:p>
    <w:tbl>
      <w:tblPr>
        <w:tblpPr w:leftFromText="141" w:rightFromText="141" w:vertAnchor="text" w:horzAnchor="margin" w:tblpY="144"/>
        <w:tblW w:w="5000" w:type="pct"/>
        <w:tblCellMar>
          <w:top w:w="55" w:type="dxa"/>
          <w:left w:w="55" w:type="dxa"/>
          <w:bottom w:w="55" w:type="dxa"/>
          <w:right w:w="55" w:type="dxa"/>
        </w:tblCellMar>
        <w:tblLook w:val="0000"/>
      </w:tblPr>
      <w:tblGrid>
        <w:gridCol w:w="201"/>
        <w:gridCol w:w="3163"/>
        <w:gridCol w:w="2400"/>
        <w:gridCol w:w="3593"/>
        <w:gridCol w:w="250"/>
      </w:tblGrid>
      <w:tr w:rsidR="009E0618" w:rsidRPr="00AC3C0F" w:rsidTr="0064343C">
        <w:trPr>
          <w:trHeight w:val="302"/>
        </w:trPr>
        <w:tc>
          <w:tcPr>
            <w:tcW w:w="5000" w:type="pct"/>
            <w:gridSpan w:val="5"/>
            <w:tcBorders>
              <w:top w:val="single" w:sz="2" w:space="0" w:color="auto"/>
              <w:left w:val="single" w:sz="4" w:space="0" w:color="auto"/>
              <w:bottom w:val="single" w:sz="4" w:space="0" w:color="auto"/>
              <w:right w:val="single" w:sz="4" w:space="0" w:color="auto"/>
            </w:tcBorders>
            <w:shd w:val="clear" w:color="auto" w:fill="D9D9D9" w:themeFill="background1" w:themeFillShade="D9"/>
          </w:tcPr>
          <w:p w:rsidR="009E0618" w:rsidRPr="00FD2BFD" w:rsidRDefault="009E0618" w:rsidP="0064343C">
            <w:pPr>
              <w:pStyle w:val="Contenidodelatabla"/>
              <w:tabs>
                <w:tab w:val="center" w:pos="4748"/>
                <w:tab w:val="left" w:pos="8178"/>
                <w:tab w:val="right" w:pos="9497"/>
              </w:tabs>
              <w:spacing w:line="0" w:lineRule="atLeast"/>
              <w:rPr>
                <w:b/>
                <w:i/>
                <w:noProof/>
                <w:color w:val="943634" w:themeColor="accent2" w:themeShade="BF"/>
                <w:sz w:val="14"/>
                <w:lang w:eastAsia="es-ES"/>
              </w:rPr>
            </w:pPr>
            <w:r w:rsidRPr="00FD2BFD">
              <w:rPr>
                <w:rFonts w:ascii="Palatino Linotype" w:hAnsi="Palatino Linotype"/>
                <w:b/>
                <w:bCs/>
                <w:sz w:val="14"/>
                <w:szCs w:val="18"/>
              </w:rPr>
              <w:t xml:space="preserve">                                         </w:t>
            </w:r>
            <w:r w:rsidRPr="00FD2BFD">
              <w:rPr>
                <w:rFonts w:ascii="Palatino Linotype" w:hAnsi="Palatino Linotype"/>
                <w:b/>
                <w:bCs/>
                <w:sz w:val="14"/>
                <w:szCs w:val="18"/>
              </w:rPr>
              <w:tab/>
              <w:t xml:space="preserve">Proyecciones de inflación                                  </w:t>
            </w:r>
            <w:r w:rsidRPr="00FD2BFD">
              <w:rPr>
                <w:rFonts w:ascii="Palatino Linotype" w:hAnsi="Palatino Linotype"/>
                <w:b/>
                <w:bCs/>
                <w:sz w:val="14"/>
                <w:szCs w:val="18"/>
              </w:rPr>
              <w:tab/>
            </w:r>
            <w:r w:rsidRPr="00FD2BFD">
              <w:rPr>
                <w:rFonts w:ascii="Palatino Linotype" w:hAnsi="Palatino Linotype"/>
                <w:b/>
                <w:bCs/>
                <w:sz w:val="14"/>
                <w:szCs w:val="18"/>
              </w:rPr>
              <w:tab/>
            </w:r>
            <w:r w:rsidRPr="00FD2BFD">
              <w:rPr>
                <w:b/>
                <w:i/>
                <w:noProof/>
                <w:color w:val="943634" w:themeColor="accent2" w:themeShade="BF"/>
                <w:sz w:val="14"/>
                <w:lang w:eastAsia="es-ES"/>
              </w:rPr>
              <w:t>Cuadro 1</w:t>
            </w:r>
          </w:p>
          <w:p w:rsidR="009E0618" w:rsidRPr="00FD2BFD" w:rsidRDefault="009E0618" w:rsidP="0064343C">
            <w:pPr>
              <w:pStyle w:val="Contenidodelatabla"/>
              <w:spacing w:line="0" w:lineRule="atLeast"/>
              <w:jc w:val="center"/>
              <w:rPr>
                <w:rFonts w:ascii="Palatino Linotype" w:hAnsi="Palatino Linotype"/>
                <w:sz w:val="14"/>
                <w:szCs w:val="18"/>
              </w:rPr>
            </w:pPr>
            <w:r w:rsidRPr="00FD2BFD">
              <w:rPr>
                <w:rFonts w:ascii="Palatino Linotype" w:hAnsi="Palatino Linotype"/>
                <w:sz w:val="14"/>
                <w:szCs w:val="18"/>
              </w:rPr>
              <w:t>(po</w:t>
            </w:r>
            <w:r w:rsidR="00066EE6">
              <w:rPr>
                <w:rFonts w:ascii="Palatino Linotype" w:hAnsi="Palatino Linotype"/>
                <w:sz w:val="14"/>
                <w:szCs w:val="18"/>
              </w:rPr>
              <w:t>rcentaje de variación</w:t>
            </w:r>
            <w:r w:rsidRPr="00FD2BFD">
              <w:rPr>
                <w:rFonts w:ascii="Palatino Linotype" w:hAnsi="Palatino Linotype"/>
                <w:sz w:val="14"/>
                <w:szCs w:val="18"/>
              </w:rPr>
              <w:t>)</w:t>
            </w:r>
          </w:p>
        </w:tc>
      </w:tr>
      <w:tr w:rsidR="009E0618" w:rsidRPr="00AC3C0F" w:rsidTr="0064343C">
        <w:trPr>
          <w:trHeight w:val="34"/>
        </w:trPr>
        <w:tc>
          <w:tcPr>
            <w:tcW w:w="105" w:type="pct"/>
            <w:tcBorders>
              <w:top w:val="single" w:sz="4" w:space="0" w:color="auto"/>
              <w:left w:val="single" w:sz="4" w:space="0" w:color="auto"/>
              <w:bottom w:val="single" w:sz="4" w:space="0" w:color="auto"/>
            </w:tcBorders>
          </w:tcPr>
          <w:p w:rsidR="009E0618" w:rsidRPr="00FD2BFD" w:rsidRDefault="009E0618" w:rsidP="0064343C">
            <w:pPr>
              <w:pStyle w:val="Contenidodelatabla"/>
              <w:spacing w:line="0" w:lineRule="atLeast"/>
              <w:jc w:val="center"/>
              <w:rPr>
                <w:rFonts w:ascii="Palatino Linotype" w:hAnsi="Palatino Linotype"/>
                <w:sz w:val="14"/>
                <w:szCs w:val="16"/>
                <w:highlight w:val="yellow"/>
              </w:rPr>
            </w:pPr>
          </w:p>
        </w:tc>
        <w:tc>
          <w:tcPr>
            <w:tcW w:w="1646" w:type="pct"/>
            <w:tcBorders>
              <w:top w:val="single" w:sz="4" w:space="0" w:color="auto"/>
              <w:bottom w:val="single" w:sz="4" w:space="0" w:color="auto"/>
            </w:tcBorders>
            <w:vAlign w:val="center"/>
          </w:tcPr>
          <w:p w:rsidR="009E0618" w:rsidRPr="00FD2BFD" w:rsidRDefault="009E0618" w:rsidP="0064343C">
            <w:pPr>
              <w:pStyle w:val="Contenidodelatabla"/>
              <w:spacing w:line="0" w:lineRule="atLeast"/>
              <w:jc w:val="center"/>
              <w:rPr>
                <w:rFonts w:ascii="Palatino Linotype" w:hAnsi="Palatino Linotype"/>
                <w:sz w:val="14"/>
                <w:szCs w:val="16"/>
              </w:rPr>
            </w:pPr>
          </w:p>
        </w:tc>
        <w:tc>
          <w:tcPr>
            <w:tcW w:w="1249" w:type="pct"/>
            <w:tcBorders>
              <w:top w:val="single" w:sz="4" w:space="0" w:color="auto"/>
              <w:bottom w:val="single" w:sz="4" w:space="0" w:color="auto"/>
            </w:tcBorders>
            <w:vAlign w:val="center"/>
          </w:tcPr>
          <w:p w:rsidR="009E0618" w:rsidRPr="00FD2BFD" w:rsidRDefault="009E0618" w:rsidP="0064343C">
            <w:pPr>
              <w:pStyle w:val="Contenidodelatabla"/>
              <w:spacing w:line="0" w:lineRule="atLeast"/>
              <w:jc w:val="center"/>
              <w:rPr>
                <w:rFonts w:ascii="Palatino Linotype" w:hAnsi="Palatino Linotype"/>
                <w:sz w:val="14"/>
                <w:szCs w:val="16"/>
              </w:rPr>
            </w:pPr>
            <w:r w:rsidRPr="00FD2BFD">
              <w:rPr>
                <w:rFonts w:ascii="Palatino Linotype" w:hAnsi="Palatino Linotype"/>
                <w:sz w:val="14"/>
                <w:szCs w:val="16"/>
              </w:rPr>
              <w:t>Inflación General</w:t>
            </w:r>
          </w:p>
        </w:tc>
        <w:tc>
          <w:tcPr>
            <w:tcW w:w="1870" w:type="pct"/>
            <w:tcBorders>
              <w:top w:val="single" w:sz="4" w:space="0" w:color="auto"/>
              <w:bottom w:val="single" w:sz="4" w:space="0" w:color="auto"/>
            </w:tcBorders>
            <w:vAlign w:val="center"/>
          </w:tcPr>
          <w:p w:rsidR="009E0618" w:rsidRPr="00FD2BFD" w:rsidRDefault="009E0618" w:rsidP="0064343C">
            <w:pPr>
              <w:pStyle w:val="Contenidodelatabla"/>
              <w:spacing w:line="0" w:lineRule="atLeast"/>
              <w:jc w:val="center"/>
              <w:rPr>
                <w:rFonts w:ascii="Palatino Linotype" w:hAnsi="Palatino Linotype"/>
                <w:sz w:val="14"/>
                <w:szCs w:val="16"/>
              </w:rPr>
            </w:pPr>
            <w:r w:rsidRPr="00FD2BFD">
              <w:rPr>
                <w:rFonts w:ascii="Palatino Linotype" w:hAnsi="Palatino Linotype"/>
                <w:sz w:val="14"/>
                <w:szCs w:val="16"/>
              </w:rPr>
              <w:t>Inflación Tendencial</w:t>
            </w:r>
          </w:p>
        </w:tc>
        <w:tc>
          <w:tcPr>
            <w:tcW w:w="130" w:type="pct"/>
            <w:tcBorders>
              <w:top w:val="single" w:sz="4" w:space="0" w:color="auto"/>
              <w:bottom w:val="single" w:sz="4" w:space="0" w:color="auto"/>
              <w:right w:val="single" w:sz="4" w:space="0" w:color="auto"/>
            </w:tcBorders>
          </w:tcPr>
          <w:p w:rsidR="009E0618" w:rsidRPr="00FD2BFD" w:rsidRDefault="009E0618" w:rsidP="0064343C">
            <w:pPr>
              <w:pStyle w:val="Contenidodelatabla"/>
              <w:spacing w:line="0" w:lineRule="atLeast"/>
              <w:jc w:val="center"/>
              <w:rPr>
                <w:rFonts w:ascii="Palatino Linotype" w:hAnsi="Palatino Linotype"/>
                <w:sz w:val="14"/>
                <w:szCs w:val="16"/>
                <w:highlight w:val="yellow"/>
              </w:rPr>
            </w:pPr>
          </w:p>
        </w:tc>
      </w:tr>
      <w:tr w:rsidR="009E0618" w:rsidRPr="00AC3C0F" w:rsidTr="0064343C">
        <w:trPr>
          <w:trHeight w:val="134"/>
        </w:trPr>
        <w:tc>
          <w:tcPr>
            <w:tcW w:w="105" w:type="pct"/>
            <w:tcBorders>
              <w:top w:val="single" w:sz="4" w:space="0" w:color="auto"/>
              <w:left w:val="single" w:sz="4" w:space="0" w:color="auto"/>
            </w:tcBorders>
            <w:vAlign w:val="center"/>
          </w:tcPr>
          <w:p w:rsidR="009E0618" w:rsidRPr="00FD2BFD" w:rsidRDefault="009E0618" w:rsidP="0064343C">
            <w:pPr>
              <w:pStyle w:val="Contenidodelatabla"/>
              <w:spacing w:line="0" w:lineRule="atLeast"/>
              <w:jc w:val="center"/>
              <w:rPr>
                <w:rFonts w:ascii="Palatino Linotype" w:hAnsi="Palatino Linotype"/>
                <w:sz w:val="14"/>
                <w:szCs w:val="16"/>
                <w:highlight w:val="yellow"/>
              </w:rPr>
            </w:pPr>
          </w:p>
        </w:tc>
        <w:tc>
          <w:tcPr>
            <w:tcW w:w="1646" w:type="pct"/>
            <w:tcBorders>
              <w:top w:val="single" w:sz="4" w:space="0" w:color="auto"/>
            </w:tcBorders>
            <w:vAlign w:val="center"/>
          </w:tcPr>
          <w:p w:rsidR="009E0618" w:rsidRPr="00FD2BFD" w:rsidRDefault="009E0618" w:rsidP="009E0618">
            <w:pPr>
              <w:pStyle w:val="Contenidodelatabla"/>
              <w:spacing w:line="0" w:lineRule="atLeast"/>
              <w:jc w:val="center"/>
              <w:rPr>
                <w:rFonts w:ascii="Palatino Linotype" w:hAnsi="Palatino Linotype"/>
                <w:sz w:val="14"/>
                <w:szCs w:val="14"/>
              </w:rPr>
            </w:pPr>
            <w:r w:rsidRPr="00FD2BFD">
              <w:rPr>
                <w:rFonts w:ascii="Palatino Linotype" w:hAnsi="Palatino Linotype"/>
                <w:sz w:val="14"/>
                <w:szCs w:val="14"/>
              </w:rPr>
              <w:t>Mensual (</w:t>
            </w:r>
            <w:r>
              <w:rPr>
                <w:rFonts w:ascii="Palatino Linotype" w:hAnsi="Palatino Linotype"/>
                <w:sz w:val="14"/>
                <w:szCs w:val="14"/>
              </w:rPr>
              <w:t>Agosto</w:t>
            </w:r>
            <w:r w:rsidRPr="00FD2BFD">
              <w:rPr>
                <w:rFonts w:ascii="Palatino Linotype" w:hAnsi="Palatino Linotype"/>
                <w:sz w:val="14"/>
                <w:szCs w:val="14"/>
              </w:rPr>
              <w:t>)</w:t>
            </w:r>
          </w:p>
        </w:tc>
        <w:tc>
          <w:tcPr>
            <w:tcW w:w="1249" w:type="pct"/>
            <w:vAlign w:val="center"/>
          </w:tcPr>
          <w:p w:rsidR="009E0618" w:rsidRPr="00FD2BFD" w:rsidRDefault="009E0618" w:rsidP="00611E53">
            <w:pPr>
              <w:jc w:val="center"/>
              <w:rPr>
                <w:rFonts w:ascii="Arial" w:hAnsi="Arial" w:cs="Arial"/>
                <w:i/>
                <w:iCs/>
                <w:sz w:val="14"/>
                <w:szCs w:val="14"/>
              </w:rPr>
            </w:pPr>
            <w:r>
              <w:rPr>
                <w:rFonts w:ascii="Arial" w:hAnsi="Arial" w:cs="Arial"/>
                <w:i/>
                <w:iCs/>
                <w:sz w:val="14"/>
                <w:szCs w:val="14"/>
              </w:rPr>
              <w:t>0.</w:t>
            </w:r>
            <w:r w:rsidR="00BC081D">
              <w:rPr>
                <w:rFonts w:ascii="Arial" w:hAnsi="Arial" w:cs="Arial"/>
                <w:i/>
                <w:iCs/>
                <w:sz w:val="14"/>
                <w:szCs w:val="14"/>
              </w:rPr>
              <w:t>4</w:t>
            </w:r>
            <w:r w:rsidR="00C80D4E">
              <w:rPr>
                <w:rFonts w:ascii="Arial" w:hAnsi="Arial" w:cs="Arial"/>
                <w:i/>
                <w:iCs/>
                <w:sz w:val="14"/>
                <w:szCs w:val="14"/>
              </w:rPr>
              <w:t>7</w:t>
            </w:r>
          </w:p>
        </w:tc>
        <w:tc>
          <w:tcPr>
            <w:tcW w:w="1870" w:type="pct"/>
            <w:vAlign w:val="center"/>
          </w:tcPr>
          <w:p w:rsidR="009E0618" w:rsidRPr="00FD2BFD" w:rsidRDefault="00BC081D" w:rsidP="0064343C">
            <w:pPr>
              <w:jc w:val="center"/>
              <w:rPr>
                <w:rFonts w:ascii="Arial" w:hAnsi="Arial" w:cs="Arial"/>
                <w:i/>
                <w:iCs/>
                <w:sz w:val="14"/>
                <w:szCs w:val="14"/>
              </w:rPr>
            </w:pPr>
            <w:r>
              <w:rPr>
                <w:rFonts w:ascii="Palatino Linotype" w:hAnsi="Palatino Linotype"/>
                <w:sz w:val="14"/>
                <w:szCs w:val="14"/>
              </w:rPr>
              <w:t>0.</w:t>
            </w:r>
            <w:r w:rsidR="00C80D4E">
              <w:rPr>
                <w:rFonts w:ascii="Palatino Linotype" w:hAnsi="Palatino Linotype"/>
                <w:sz w:val="14"/>
                <w:szCs w:val="14"/>
              </w:rPr>
              <w:t>61</w:t>
            </w:r>
          </w:p>
        </w:tc>
        <w:tc>
          <w:tcPr>
            <w:tcW w:w="130" w:type="pct"/>
            <w:tcBorders>
              <w:right w:val="single" w:sz="4" w:space="0" w:color="auto"/>
            </w:tcBorders>
            <w:vAlign w:val="center"/>
          </w:tcPr>
          <w:p w:rsidR="009E0618" w:rsidRPr="00FD2BFD" w:rsidRDefault="009E0618" w:rsidP="0064343C">
            <w:pPr>
              <w:pStyle w:val="Contenidodelatabla"/>
              <w:spacing w:line="0" w:lineRule="atLeast"/>
              <w:jc w:val="center"/>
              <w:rPr>
                <w:rFonts w:ascii="Palatino Linotype" w:hAnsi="Palatino Linotype"/>
                <w:sz w:val="14"/>
                <w:szCs w:val="16"/>
                <w:highlight w:val="yellow"/>
              </w:rPr>
            </w:pPr>
          </w:p>
        </w:tc>
      </w:tr>
      <w:tr w:rsidR="009E0618" w:rsidRPr="00AC3C0F" w:rsidTr="0064343C">
        <w:trPr>
          <w:trHeight w:val="20"/>
        </w:trPr>
        <w:tc>
          <w:tcPr>
            <w:tcW w:w="105" w:type="pct"/>
            <w:tcBorders>
              <w:left w:val="single" w:sz="4" w:space="0" w:color="auto"/>
            </w:tcBorders>
            <w:vAlign w:val="center"/>
          </w:tcPr>
          <w:p w:rsidR="009E0618" w:rsidRPr="00FD2BFD" w:rsidRDefault="009E0618" w:rsidP="0064343C">
            <w:pPr>
              <w:pStyle w:val="Contenidodelatabla"/>
              <w:jc w:val="center"/>
              <w:rPr>
                <w:rFonts w:cs="Tahoma"/>
                <w:sz w:val="14"/>
                <w:szCs w:val="16"/>
                <w:highlight w:val="yellow"/>
              </w:rPr>
            </w:pPr>
          </w:p>
        </w:tc>
        <w:tc>
          <w:tcPr>
            <w:tcW w:w="1646" w:type="pct"/>
            <w:vAlign w:val="center"/>
          </w:tcPr>
          <w:p w:rsidR="009E0618" w:rsidRPr="00FD2BFD" w:rsidRDefault="009E0618" w:rsidP="0064343C">
            <w:pPr>
              <w:pStyle w:val="Contenidodelatabla"/>
              <w:spacing w:line="0" w:lineRule="atLeast"/>
              <w:jc w:val="center"/>
              <w:rPr>
                <w:rFonts w:ascii="Palatino Linotype" w:hAnsi="Palatino Linotype"/>
                <w:sz w:val="14"/>
                <w:szCs w:val="14"/>
              </w:rPr>
            </w:pPr>
            <w:r w:rsidRPr="00FD2BFD">
              <w:rPr>
                <w:rFonts w:ascii="Palatino Linotype" w:hAnsi="Palatino Linotype"/>
                <w:sz w:val="14"/>
                <w:szCs w:val="14"/>
              </w:rPr>
              <w:t>Año calendario 2016</w:t>
            </w:r>
          </w:p>
        </w:tc>
        <w:tc>
          <w:tcPr>
            <w:tcW w:w="1249" w:type="pct"/>
            <w:vAlign w:val="center"/>
          </w:tcPr>
          <w:p w:rsidR="009E0618" w:rsidRPr="00FD2BFD" w:rsidRDefault="00E1259A" w:rsidP="00611E53">
            <w:pPr>
              <w:jc w:val="center"/>
              <w:rPr>
                <w:rFonts w:ascii="Palatino Linotype" w:hAnsi="Palatino Linotype"/>
                <w:sz w:val="14"/>
                <w:szCs w:val="14"/>
              </w:rPr>
            </w:pPr>
            <w:r>
              <w:rPr>
                <w:rFonts w:ascii="Palatino Linotype" w:hAnsi="Palatino Linotype"/>
                <w:sz w:val="14"/>
                <w:szCs w:val="14"/>
              </w:rPr>
              <w:t>9.</w:t>
            </w:r>
            <w:r w:rsidR="00C80D4E">
              <w:rPr>
                <w:rFonts w:ascii="Palatino Linotype" w:hAnsi="Palatino Linotype"/>
                <w:sz w:val="14"/>
                <w:szCs w:val="14"/>
              </w:rPr>
              <w:t>69</w:t>
            </w:r>
            <w:r w:rsidR="00BC081D">
              <w:rPr>
                <w:rFonts w:ascii="Palatino Linotype" w:hAnsi="Palatino Linotype"/>
                <w:sz w:val="14"/>
                <w:szCs w:val="14"/>
              </w:rPr>
              <w:t xml:space="preserve"> </w:t>
            </w:r>
          </w:p>
        </w:tc>
        <w:tc>
          <w:tcPr>
            <w:tcW w:w="1870" w:type="pct"/>
            <w:vAlign w:val="center"/>
          </w:tcPr>
          <w:p w:rsidR="009E0618" w:rsidRPr="00FD2BFD" w:rsidRDefault="00611E53" w:rsidP="0064343C">
            <w:pPr>
              <w:jc w:val="center"/>
              <w:rPr>
                <w:rFonts w:ascii="Palatino Linotype" w:hAnsi="Palatino Linotype"/>
                <w:sz w:val="14"/>
                <w:szCs w:val="14"/>
              </w:rPr>
            </w:pPr>
            <w:r>
              <w:rPr>
                <w:rFonts w:ascii="Palatino Linotype" w:hAnsi="Palatino Linotype"/>
                <w:sz w:val="14"/>
                <w:szCs w:val="14"/>
              </w:rPr>
              <w:t>9.6</w:t>
            </w:r>
            <w:r w:rsidR="00C80D4E">
              <w:rPr>
                <w:rFonts w:ascii="Palatino Linotype" w:hAnsi="Palatino Linotype"/>
                <w:sz w:val="14"/>
                <w:szCs w:val="14"/>
              </w:rPr>
              <w:t>4</w:t>
            </w:r>
          </w:p>
        </w:tc>
        <w:tc>
          <w:tcPr>
            <w:tcW w:w="130" w:type="pct"/>
            <w:tcBorders>
              <w:right w:val="single" w:sz="4" w:space="0" w:color="auto"/>
            </w:tcBorders>
            <w:vAlign w:val="center"/>
          </w:tcPr>
          <w:p w:rsidR="009E0618" w:rsidRPr="00FD2BFD" w:rsidRDefault="009E0618" w:rsidP="0064343C">
            <w:pPr>
              <w:pStyle w:val="Contenidodelatabla"/>
              <w:spacing w:line="0" w:lineRule="atLeast"/>
              <w:jc w:val="center"/>
              <w:rPr>
                <w:rFonts w:ascii="Palatino Linotype" w:hAnsi="Palatino Linotype"/>
                <w:sz w:val="14"/>
                <w:szCs w:val="16"/>
                <w:highlight w:val="yellow"/>
              </w:rPr>
            </w:pPr>
          </w:p>
        </w:tc>
      </w:tr>
      <w:tr w:rsidR="009E0618" w:rsidRPr="00AC3C0F" w:rsidTr="0064343C">
        <w:trPr>
          <w:trHeight w:val="20"/>
        </w:trPr>
        <w:tc>
          <w:tcPr>
            <w:tcW w:w="105" w:type="pct"/>
            <w:tcBorders>
              <w:left w:val="single" w:sz="4" w:space="0" w:color="auto"/>
              <w:bottom w:val="single" w:sz="4" w:space="0" w:color="auto"/>
            </w:tcBorders>
            <w:vAlign w:val="center"/>
          </w:tcPr>
          <w:p w:rsidR="009E0618" w:rsidRPr="00FD2BFD" w:rsidRDefault="009E0618" w:rsidP="0064343C">
            <w:pPr>
              <w:pStyle w:val="Contenidodelatabla"/>
              <w:jc w:val="center"/>
              <w:rPr>
                <w:rFonts w:cs="Tahoma"/>
                <w:sz w:val="14"/>
                <w:szCs w:val="16"/>
                <w:highlight w:val="yellow"/>
              </w:rPr>
            </w:pPr>
          </w:p>
        </w:tc>
        <w:tc>
          <w:tcPr>
            <w:tcW w:w="1646" w:type="pct"/>
            <w:tcBorders>
              <w:bottom w:val="single" w:sz="4" w:space="0" w:color="auto"/>
            </w:tcBorders>
            <w:vAlign w:val="center"/>
          </w:tcPr>
          <w:p w:rsidR="009E0618" w:rsidRPr="00FD2BFD" w:rsidRDefault="009E0618" w:rsidP="0064343C">
            <w:pPr>
              <w:pStyle w:val="Contenidodelatabla"/>
              <w:spacing w:line="0" w:lineRule="atLeast"/>
              <w:jc w:val="center"/>
              <w:rPr>
                <w:rFonts w:ascii="Palatino Linotype" w:hAnsi="Palatino Linotype"/>
                <w:sz w:val="14"/>
                <w:szCs w:val="14"/>
              </w:rPr>
            </w:pPr>
            <w:r w:rsidRPr="00FD2BFD">
              <w:rPr>
                <w:rFonts w:ascii="Palatino Linotype" w:hAnsi="Palatino Linotype"/>
                <w:sz w:val="14"/>
                <w:szCs w:val="14"/>
              </w:rPr>
              <w:t>Año calendario 2017</w:t>
            </w:r>
          </w:p>
        </w:tc>
        <w:tc>
          <w:tcPr>
            <w:tcW w:w="1249" w:type="pct"/>
            <w:tcBorders>
              <w:bottom w:val="single" w:sz="4" w:space="0" w:color="auto"/>
            </w:tcBorders>
            <w:vAlign w:val="center"/>
          </w:tcPr>
          <w:p w:rsidR="009E0618" w:rsidRPr="00FD2BFD" w:rsidRDefault="00E1259A" w:rsidP="0064343C">
            <w:pPr>
              <w:jc w:val="center"/>
              <w:rPr>
                <w:rFonts w:ascii="Palatino Linotype" w:hAnsi="Palatino Linotype"/>
                <w:sz w:val="14"/>
                <w:szCs w:val="14"/>
              </w:rPr>
            </w:pPr>
            <w:r>
              <w:rPr>
                <w:rFonts w:ascii="Palatino Linotype" w:hAnsi="Palatino Linotype"/>
                <w:sz w:val="14"/>
                <w:szCs w:val="14"/>
              </w:rPr>
              <w:t>10.0</w:t>
            </w:r>
            <w:r w:rsidR="00BC081D">
              <w:rPr>
                <w:rFonts w:ascii="Palatino Linotype" w:hAnsi="Palatino Linotype"/>
                <w:sz w:val="14"/>
                <w:szCs w:val="14"/>
              </w:rPr>
              <w:t>8</w:t>
            </w:r>
          </w:p>
        </w:tc>
        <w:tc>
          <w:tcPr>
            <w:tcW w:w="1870" w:type="pct"/>
            <w:tcBorders>
              <w:bottom w:val="single" w:sz="4" w:space="0" w:color="auto"/>
            </w:tcBorders>
            <w:vAlign w:val="center"/>
          </w:tcPr>
          <w:p w:rsidR="009E0618" w:rsidRPr="00FD2BFD" w:rsidRDefault="00611E53" w:rsidP="0064343C">
            <w:pPr>
              <w:jc w:val="center"/>
              <w:rPr>
                <w:rFonts w:ascii="Palatino Linotype" w:hAnsi="Palatino Linotype"/>
                <w:i/>
                <w:sz w:val="14"/>
                <w:szCs w:val="14"/>
                <w:lang w:val="en-GB"/>
              </w:rPr>
            </w:pPr>
            <w:r>
              <w:rPr>
                <w:rFonts w:ascii="Palatino Linotype" w:hAnsi="Palatino Linotype"/>
                <w:i/>
                <w:sz w:val="14"/>
                <w:szCs w:val="14"/>
                <w:lang w:val="en-GB"/>
              </w:rPr>
              <w:t>10.3</w:t>
            </w:r>
            <w:r w:rsidR="00C80D4E">
              <w:rPr>
                <w:rFonts w:ascii="Palatino Linotype" w:hAnsi="Palatino Linotype"/>
                <w:i/>
                <w:sz w:val="14"/>
                <w:szCs w:val="14"/>
                <w:lang w:val="en-GB"/>
              </w:rPr>
              <w:t>8</w:t>
            </w:r>
          </w:p>
        </w:tc>
        <w:tc>
          <w:tcPr>
            <w:tcW w:w="130" w:type="pct"/>
            <w:tcBorders>
              <w:bottom w:val="single" w:sz="4" w:space="0" w:color="auto"/>
              <w:right w:val="single" w:sz="4" w:space="0" w:color="auto"/>
            </w:tcBorders>
            <w:vAlign w:val="center"/>
          </w:tcPr>
          <w:p w:rsidR="009E0618" w:rsidRPr="00FD2BFD" w:rsidRDefault="009E0618" w:rsidP="0064343C">
            <w:pPr>
              <w:pStyle w:val="Contenidodelatabla"/>
              <w:spacing w:line="0" w:lineRule="atLeast"/>
              <w:jc w:val="center"/>
              <w:rPr>
                <w:rFonts w:ascii="Palatino Linotype" w:hAnsi="Palatino Linotype"/>
                <w:sz w:val="14"/>
                <w:szCs w:val="16"/>
                <w:highlight w:val="yellow"/>
              </w:rPr>
            </w:pPr>
          </w:p>
        </w:tc>
      </w:tr>
      <w:tr w:rsidR="009E0618" w:rsidRPr="00065578" w:rsidTr="0064343C">
        <w:trPr>
          <w:trHeight w:val="16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9E0618" w:rsidRPr="00FD2BFD" w:rsidRDefault="009E0618" w:rsidP="003D6F25">
            <w:pPr>
              <w:spacing w:line="0" w:lineRule="atLeast"/>
              <w:rPr>
                <w:rFonts w:ascii="Palatino Linotype" w:eastAsia="Palatino Linotype" w:hAnsi="Palatino Linotype" w:cs="Palatino Linotype"/>
                <w:i/>
                <w:iCs/>
                <w:sz w:val="14"/>
                <w:szCs w:val="16"/>
              </w:rPr>
            </w:pPr>
            <w:r w:rsidRPr="00FD2BFD">
              <w:rPr>
                <w:rFonts w:ascii="Palatino Linotype" w:eastAsia="Palatino Linotype" w:hAnsi="Palatino Linotype" w:cs="Palatino Linotype"/>
                <w:i/>
                <w:iCs/>
                <w:sz w:val="14"/>
                <w:szCs w:val="16"/>
              </w:rPr>
              <w:t>Fuente: Proyecciones</w:t>
            </w:r>
            <w:r w:rsidRPr="00FD2BFD">
              <w:rPr>
                <w:rFonts w:ascii="Palatino Linotype" w:eastAsia="Palatino Linotype" w:hAnsi="Palatino Linotype" w:cs="Palatino Linotype"/>
                <w:i/>
                <w:iCs/>
                <w:color w:val="99284C"/>
                <w:sz w:val="14"/>
                <w:szCs w:val="16"/>
              </w:rPr>
              <w:t xml:space="preserve"> </w:t>
            </w:r>
            <w:proofErr w:type="spellStart"/>
            <w:r w:rsidRPr="00FD2BFD">
              <w:rPr>
                <w:rFonts w:ascii="Arial Black" w:eastAsia="Arial Black" w:hAnsi="Arial Black" w:cs="Arial Black"/>
                <w:b/>
                <w:color w:val="99284C"/>
                <w:sz w:val="14"/>
                <w:szCs w:val="16"/>
              </w:rPr>
              <w:t>cinve</w:t>
            </w:r>
            <w:proofErr w:type="spellEnd"/>
            <w:r w:rsidR="00066EE6">
              <w:rPr>
                <w:rFonts w:ascii="Palatino Linotype" w:eastAsia="Palatino Linotype" w:hAnsi="Palatino Linotype" w:cs="Palatino Linotype"/>
                <w:i/>
                <w:iCs/>
                <w:sz w:val="14"/>
                <w:szCs w:val="16"/>
              </w:rPr>
              <w:t xml:space="preserve"> al 2</w:t>
            </w:r>
            <w:r w:rsidR="00C80D4E">
              <w:rPr>
                <w:rFonts w:ascii="Palatino Linotype" w:eastAsia="Palatino Linotype" w:hAnsi="Palatino Linotype" w:cs="Palatino Linotype"/>
                <w:i/>
                <w:iCs/>
                <w:sz w:val="14"/>
                <w:szCs w:val="16"/>
              </w:rPr>
              <w:t>4</w:t>
            </w:r>
            <w:r w:rsidRPr="00FD2BFD">
              <w:rPr>
                <w:rFonts w:ascii="Palatino Linotype" w:eastAsia="Palatino Linotype" w:hAnsi="Palatino Linotype" w:cs="Palatino Linotype"/>
                <w:i/>
                <w:iCs/>
                <w:sz w:val="14"/>
                <w:szCs w:val="16"/>
              </w:rPr>
              <w:t>/0</w:t>
            </w:r>
            <w:r>
              <w:rPr>
                <w:rFonts w:ascii="Palatino Linotype" w:eastAsia="Palatino Linotype" w:hAnsi="Palatino Linotype" w:cs="Palatino Linotype"/>
                <w:i/>
                <w:iCs/>
                <w:sz w:val="14"/>
                <w:szCs w:val="16"/>
              </w:rPr>
              <w:t>8</w:t>
            </w:r>
            <w:r w:rsidRPr="00FD2BFD">
              <w:rPr>
                <w:rFonts w:ascii="Palatino Linotype" w:eastAsia="Palatino Linotype" w:hAnsi="Palatino Linotype" w:cs="Palatino Linotype"/>
                <w:i/>
                <w:iCs/>
                <w:sz w:val="14"/>
                <w:szCs w:val="16"/>
              </w:rPr>
              <w:t>/2016.</w:t>
            </w:r>
          </w:p>
        </w:tc>
      </w:tr>
    </w:tbl>
    <w:p w:rsidR="00237D50" w:rsidRPr="00066EE6" w:rsidRDefault="00066EE6" w:rsidP="004B61B8">
      <w:pPr>
        <w:pStyle w:val="TextoII"/>
      </w:pPr>
      <w:r>
        <w:rPr>
          <w:b/>
        </w:rPr>
        <w:t xml:space="preserve">Las proyecciones elaboradas por </w:t>
      </w:r>
      <w:proofErr w:type="spellStart"/>
      <w:r>
        <w:rPr>
          <w:b/>
        </w:rPr>
        <w:t>cinve</w:t>
      </w:r>
      <w:proofErr w:type="spellEnd"/>
      <w:r>
        <w:rPr>
          <w:b/>
        </w:rPr>
        <w:t xml:space="preserve"> para 2016 y 2017</w:t>
      </w:r>
      <w:r w:rsidR="006304A9">
        <w:rPr>
          <w:b/>
        </w:rPr>
        <w:t xml:space="preserve"> han sido modificadas</w:t>
      </w:r>
      <w:r>
        <w:t>, a la baja en el c</w:t>
      </w:r>
      <w:r w:rsidR="006304A9">
        <w:t>aso de 2016 y l</w:t>
      </w:r>
      <w:r w:rsidR="004E2D7D">
        <w:t>evemente al</w:t>
      </w:r>
      <w:r w:rsidR="006304A9">
        <w:t xml:space="preserve"> alza para 2017, como pu</w:t>
      </w:r>
      <w:r w:rsidR="00FB72FE">
        <w:t>ede apreciarse en el Gráfico 1, siendo l</w:t>
      </w:r>
      <w:r w:rsidR="006304A9">
        <w:t>a corrección más importante para este año (lo contrario ocurre c</w:t>
      </w:r>
      <w:r w:rsidR="00FB72FE">
        <w:t xml:space="preserve">on la inflación tendencial). </w:t>
      </w:r>
      <w:r w:rsidR="000528FA">
        <w:t xml:space="preserve">Entre las razones a las que se deben estos cambios destacan la nueva baja en las previsiones para el dólar, la incorporación de los efectos </w:t>
      </w:r>
      <w:r w:rsidR="00A763B8">
        <w:t xml:space="preserve">de la modificación </w:t>
      </w:r>
      <w:r w:rsidR="003A67F2">
        <w:t xml:space="preserve">por parte del Poder Ejecutivo de los lineamientos para </w:t>
      </w:r>
      <w:r w:rsidR="00335F0B">
        <w:t>las negociaciones salariales y algunos cambios en las proyecciones para los precios de lo</w:t>
      </w:r>
      <w:r w:rsidR="00911A94">
        <w:t>s combustibles y el transporte.</w:t>
      </w:r>
    </w:p>
    <w:p w:rsidR="00250B24" w:rsidRDefault="00975A1E" w:rsidP="00911A94">
      <w:pPr>
        <w:pStyle w:val="TextoII"/>
      </w:pPr>
      <w:r>
        <w:rPr>
          <w:noProof/>
          <w:lang w:eastAsia="es-ES"/>
        </w:rPr>
        <w:lastRenderedPageBreak/>
        <w:drawing>
          <wp:anchor distT="0" distB="0" distL="114300" distR="114300" simplePos="0" relativeHeight="251684864" behindDoc="1" locked="0" layoutInCell="1" allowOverlap="1">
            <wp:simplePos x="0" y="0"/>
            <wp:positionH relativeFrom="column">
              <wp:posOffset>-1177134</wp:posOffset>
            </wp:positionH>
            <wp:positionV relativeFrom="paragraph">
              <wp:posOffset>-521970</wp:posOffset>
            </wp:positionV>
            <wp:extent cx="800459" cy="10895163"/>
            <wp:effectExtent l="19050" t="0" r="0" b="0"/>
            <wp:wrapNone/>
            <wp:docPr id="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 cstate="print"/>
                    <a:srcRect/>
                    <a:stretch>
                      <a:fillRect/>
                    </a:stretch>
                  </pic:blipFill>
                  <pic:spPr bwMode="auto">
                    <a:xfrm>
                      <a:off x="0" y="0"/>
                      <a:ext cx="800459" cy="10895163"/>
                    </a:xfrm>
                    <a:prstGeom prst="rect">
                      <a:avLst/>
                    </a:prstGeom>
                    <a:noFill/>
                    <a:ln w="9525">
                      <a:noFill/>
                      <a:miter lim="800000"/>
                      <a:headEnd/>
                      <a:tailEnd/>
                    </a:ln>
                  </pic:spPr>
                </pic:pic>
              </a:graphicData>
            </a:graphic>
          </wp:anchor>
        </w:drawing>
      </w:r>
      <w:r w:rsidR="00000BFF">
        <w:t xml:space="preserve">El dólar mantuvo en agosto una tendencia marcadamente bajista, tornando menos probable el dólar promedio de $33,5 que formaba parte de nuestras previsiones. </w:t>
      </w:r>
      <w:r w:rsidR="00C4017F">
        <w:t xml:space="preserve">En vista de esto, </w:t>
      </w:r>
      <w:r w:rsidR="00401922">
        <w:t>las proyecciones para el d</w:t>
      </w:r>
      <w:r w:rsidR="00BE11A1">
        <w:t>ólar a fin de año fueron corregidas a la baja</w:t>
      </w:r>
      <w:r w:rsidR="00250B24">
        <w:t xml:space="preserve"> en $1</w:t>
      </w:r>
      <w:r w:rsidR="00BE11A1">
        <w:t xml:space="preserve">, esperándose </w:t>
      </w:r>
      <w:r w:rsidR="00C4017F">
        <w:t>un d</w:t>
      </w:r>
      <w:r w:rsidR="00250B24">
        <w:t>ólar de $32,5 en diciembre.</w:t>
      </w:r>
    </w:p>
    <w:p w:rsidR="0078551C" w:rsidRDefault="00250B24" w:rsidP="00911A94">
      <w:pPr>
        <w:pStyle w:val="TextoII"/>
      </w:pPr>
      <w:r>
        <w:t xml:space="preserve">Esto ocurre en un contexto de caída del dólar a partir de </w:t>
      </w:r>
      <w:r w:rsidR="006C7F53">
        <w:t>marzo, luego de haber mantenido una tendencia alcista por un largo período. Las dudas respecto del desempeño en el futuro cercano de la economía estadunidense y de las economías desarrolladas en general, junto con la consecuente reticencia por parte de la Fed a continuar el proceso de suba de tasas en sus últimas reuniones, han motivado esta tendencia a la baja. Se espera, sin embargo, que este proceso se revierta</w:t>
      </w:r>
      <w:r w:rsidR="00D43F4C">
        <w:t xml:space="preserve">, puesto que en los últimos </w:t>
      </w:r>
      <w:r w:rsidR="006C7F53">
        <w:t xml:space="preserve">meses la economía estadunidense </w:t>
      </w:r>
      <w:r w:rsidR="00D43F4C">
        <w:t xml:space="preserve">ha dado señales más optimistas, siendo positivos los resultados en materia de creación de empleo mostrados por los últimos dos informes mensuales sobre el mercado de trabajo. Muchos analistas prevén, en parte en base a esto, una suba de tasas por parte de la autoridad monetaria norteamericana luego de su reunión en setiembre, que presionaría al alza al dólar. </w:t>
      </w:r>
      <w:r w:rsidR="00F8703D">
        <w:t xml:space="preserve">Adicionalmente, la inestabilidad de las economías en desarrollo en el último período ha provocado  que los flujos de capitales hacia esos países disminuyan, fenómeno conocido como el </w:t>
      </w:r>
      <w:r w:rsidR="00F8703D">
        <w:rPr>
          <w:i/>
        </w:rPr>
        <w:t>flight to quality</w:t>
      </w:r>
      <w:r w:rsidR="00F8703D">
        <w:t>. Este efecto ha sido contrarrestado, aparentemente, por otros factores como la incertidumbre en el mundo desarrollado en el período reciente, pero volvería a ser una presión al alza si</w:t>
      </w:r>
      <w:r w:rsidR="00F23A13">
        <w:t xml:space="preserve"> éstos se disiparan. Al ser inciertos en el corto y mediano plazo tanto el desempeño relativo de economías emergentes y avanzadas como las decisiones de la Fed, también lo es la evolución del precio de la divisa. </w:t>
      </w:r>
    </w:p>
    <w:p w:rsidR="00EA08F2" w:rsidRDefault="006A78FC" w:rsidP="00911A94">
      <w:pPr>
        <w:pStyle w:val="TextoII"/>
      </w:pPr>
      <w:r>
        <w:t xml:space="preserve">La previsión </w:t>
      </w:r>
      <w:r w:rsidR="004E2D7D">
        <w:t xml:space="preserve">incorporada en las pasadas proyecciones </w:t>
      </w:r>
      <w:r>
        <w:t>de un aumento de las tarifas de los combustibles para octubre fue suprimida, en virtud de</w:t>
      </w:r>
      <w:r w:rsidR="009C404C">
        <w:t xml:space="preserve"> la baja </w:t>
      </w:r>
      <w:r w:rsidR="00EA08F2">
        <w:t xml:space="preserve">del tipo de cambio </w:t>
      </w:r>
      <w:r w:rsidR="009C404C">
        <w:t xml:space="preserve">observada y el bajo precio </w:t>
      </w:r>
      <w:r w:rsidR="00EA08F2">
        <w:t xml:space="preserve">en dólares </w:t>
      </w:r>
      <w:r w:rsidR="009C404C">
        <w:t>del petróleo. La caída de éste en los meses de junio y julio fue compensada por un incremento durante el mes de agosto,</w:t>
      </w:r>
      <w:r w:rsidR="00143912">
        <w:t xml:space="preserve"> pero ésta estuvo motivada en parte por factores de carácter transitorio, que anticipamos se revertirán o al menos detendrán en el corto plazo, como las expectativas generadas por la inminente reunión entre países productores de petróleo en Argelia.</w:t>
      </w:r>
    </w:p>
    <w:p w:rsidR="00563027" w:rsidRDefault="00CE4D56" w:rsidP="00911A94">
      <w:pPr>
        <w:pStyle w:val="TextoII"/>
      </w:pPr>
      <w:r>
        <w:t>Finalmente</w:t>
      </w:r>
      <w:r w:rsidR="00A17DDE">
        <w:t>, fueron incorporados los efectos de la modific</w:t>
      </w:r>
      <w:r w:rsidR="00AE6BFD">
        <w:t xml:space="preserve">ación de las pautas salariales mediante una modificación en las proyecciones del IMS. Para esto fue tenido en cuenta el hecho de que el aumento significó para el primer año del convenio 1 pp. </w:t>
      </w:r>
      <w:proofErr w:type="gramStart"/>
      <w:r w:rsidR="00AE6BFD">
        <w:t>de</w:t>
      </w:r>
      <w:proofErr w:type="gramEnd"/>
      <w:r w:rsidR="00AE6BFD">
        <w:t xml:space="preserve"> ajuste anual para los sectores medios y dinámicos y 1,5 pp. </w:t>
      </w:r>
      <w:proofErr w:type="gramStart"/>
      <w:r w:rsidR="00AE6BFD">
        <w:t>más</w:t>
      </w:r>
      <w:proofErr w:type="gramEnd"/>
      <w:r w:rsidR="00AE6BFD">
        <w:t xml:space="preserve"> para los sectores en problemas, además del hecho de que muchos convenios de la presente ronda de negociaciones salariales ya han</w:t>
      </w:r>
      <w:r w:rsidR="00C5449E">
        <w:t xml:space="preserve"> sido firmados con anterioridad, por lo que los sectores productivos abarcados por esos convenios no </w:t>
      </w:r>
      <w:r w:rsidR="00197736">
        <w:t>tendrán modificaciones.</w:t>
      </w:r>
    </w:p>
    <w:p w:rsidR="00BE02B9" w:rsidRPr="00602316" w:rsidRDefault="00BE02B9" w:rsidP="00BE02B9">
      <w:pPr>
        <w:tabs>
          <w:tab w:val="right" w:pos="9424"/>
        </w:tabs>
        <w:spacing w:after="60"/>
        <w:ind w:right="23"/>
        <w:jc w:val="center"/>
        <w:rPr>
          <w:noProof/>
          <w:szCs w:val="22"/>
          <w:lang w:val="es-UY" w:eastAsia="en-US"/>
        </w:rPr>
      </w:pPr>
      <w:r w:rsidRPr="00FD2BFD">
        <w:rPr>
          <w:rFonts w:ascii="Palatino Linotype" w:hAnsi="Palatino Linotype" w:cs="Tahoma"/>
          <w:i/>
          <w:sz w:val="19"/>
          <w:szCs w:val="19"/>
        </w:rPr>
        <w:t>Gráfico 1. Modificación de la trayectoria prevista de inflación</w:t>
      </w:r>
      <w:r w:rsidRPr="00FD2BFD">
        <w:rPr>
          <w:noProof/>
          <w:szCs w:val="22"/>
          <w:lang w:val="es-UY" w:eastAsia="en-US"/>
        </w:rPr>
        <w:t xml:space="preserve"> </w:t>
      </w:r>
    </w:p>
    <w:p w:rsidR="00563027" w:rsidRDefault="00BE02B9" w:rsidP="00BE02B9">
      <w:pPr>
        <w:pStyle w:val="TextoII"/>
        <w:jc w:val="center"/>
      </w:pPr>
      <w:r w:rsidRPr="00BE02B9">
        <w:rPr>
          <w:noProof/>
          <w:lang w:eastAsia="es-ES"/>
        </w:rPr>
        <w:drawing>
          <wp:inline distT="0" distB="0" distL="0" distR="0">
            <wp:extent cx="4320000" cy="1906438"/>
            <wp:effectExtent l="0" t="0" r="0" b="0"/>
            <wp:docPr id="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320000" cy="1906438"/>
                    </a:xfrm>
                    <a:prstGeom prst="rect">
                      <a:avLst/>
                    </a:prstGeom>
                    <a:noFill/>
                    <a:ln w="9525">
                      <a:noFill/>
                      <a:miter lim="800000"/>
                      <a:headEnd/>
                      <a:tailEnd/>
                    </a:ln>
                  </pic:spPr>
                </pic:pic>
              </a:graphicData>
            </a:graphic>
          </wp:inline>
        </w:drawing>
      </w:r>
    </w:p>
    <w:p w:rsidR="00237D50" w:rsidRDefault="00BE02B9" w:rsidP="00BE02B9">
      <w:pPr>
        <w:tabs>
          <w:tab w:val="right" w:pos="9424"/>
        </w:tabs>
        <w:ind w:right="28"/>
        <w:jc w:val="center"/>
        <w:rPr>
          <w:rFonts w:ascii="Palatino Linotype" w:hAnsi="Palatino Linotype" w:cs="Tahoma"/>
          <w:i/>
          <w:sz w:val="19"/>
          <w:szCs w:val="19"/>
        </w:rPr>
      </w:pPr>
      <w:r w:rsidRPr="00FD2BFD">
        <w:rPr>
          <w:rFonts w:ascii="Palatino Linotype" w:hAnsi="Palatino Linotype" w:cs="Tahoma"/>
          <w:i/>
          <w:sz w:val="19"/>
          <w:szCs w:val="19"/>
        </w:rPr>
        <w:t>Gráfico 2. Fan Chart</w:t>
      </w:r>
    </w:p>
    <w:p w:rsidR="00BE4E76" w:rsidRPr="00BE02B9" w:rsidRDefault="00EA68ED" w:rsidP="00BE02B9">
      <w:pPr>
        <w:tabs>
          <w:tab w:val="right" w:pos="9424"/>
        </w:tabs>
        <w:ind w:right="28"/>
        <w:jc w:val="center"/>
        <w:rPr>
          <w:rFonts w:ascii="Palatino Linotype" w:hAnsi="Palatino Linotype" w:cs="Tahoma"/>
          <w:i/>
          <w:sz w:val="19"/>
          <w:szCs w:val="19"/>
          <w:highlight w:val="yellow"/>
        </w:rPr>
      </w:pPr>
      <w:r>
        <w:rPr>
          <w:rFonts w:ascii="Palatino Linotype" w:hAnsi="Palatino Linotype" w:cs="Tahoma"/>
          <w:i/>
          <w:noProof/>
          <w:sz w:val="19"/>
          <w:szCs w:val="19"/>
          <w:lang w:eastAsia="es-ES"/>
        </w:rPr>
        <w:pict>
          <v:shapetype id="_x0000_t32" coordsize="21600,21600" o:spt="32" o:oned="t" path="m,l21600,21600e" filled="f">
            <v:path arrowok="t" fillok="f" o:connecttype="none"/>
            <o:lock v:ext="edit" shapetype="t"/>
          </v:shapetype>
          <v:shape id="_x0000_s1027" type="#_x0000_t32" style="position:absolute;left:0;text-align:left;margin-left:406.4pt;margin-top:7.15pt;width:.7pt;height:146.05pt;flip:x;z-index:251696128" o:connectortype="straight"/>
        </w:pict>
      </w:r>
      <w:r w:rsidR="006C4EB1">
        <w:rPr>
          <w:rFonts w:ascii="Palatino Linotype" w:hAnsi="Palatino Linotype" w:cs="Tahoma"/>
          <w:i/>
          <w:noProof/>
          <w:sz w:val="19"/>
          <w:szCs w:val="19"/>
          <w:lang w:eastAsia="es-ES"/>
        </w:rPr>
        <w:drawing>
          <wp:inline distT="0" distB="0" distL="0" distR="0">
            <wp:extent cx="4320036" cy="2198949"/>
            <wp:effectExtent l="19050" t="0" r="4314" b="0"/>
            <wp:docPr id="7" name="Imagen 1" descr="\\192.168.0.50\grupos\G\Informes Coyuntura\Informe de inflación\2016 08\agosto fan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50\grupos\G\Informes Coyuntura\Informe de inflación\2016 08\agosto fanplot.jpg"/>
                    <pic:cNvPicPr>
                      <a:picLocks noChangeAspect="1" noChangeArrowheads="1"/>
                    </pic:cNvPicPr>
                  </pic:nvPicPr>
                  <pic:blipFill>
                    <a:blip r:embed="rId13"/>
                    <a:srcRect/>
                    <a:stretch>
                      <a:fillRect/>
                    </a:stretch>
                  </pic:blipFill>
                  <pic:spPr bwMode="auto">
                    <a:xfrm>
                      <a:off x="0" y="0"/>
                      <a:ext cx="4324507" cy="2201225"/>
                    </a:xfrm>
                    <a:prstGeom prst="rect">
                      <a:avLst/>
                    </a:prstGeom>
                    <a:noFill/>
                    <a:ln w="9525">
                      <a:noFill/>
                      <a:miter lim="800000"/>
                      <a:headEnd/>
                      <a:tailEnd/>
                    </a:ln>
                  </pic:spPr>
                </pic:pic>
              </a:graphicData>
            </a:graphic>
          </wp:inline>
        </w:drawing>
      </w:r>
    </w:p>
    <w:p w:rsidR="00642D79" w:rsidRPr="00555BD3" w:rsidRDefault="004E2D7D" w:rsidP="00642D79">
      <w:pPr>
        <w:tabs>
          <w:tab w:val="right" w:pos="9424"/>
        </w:tabs>
        <w:spacing w:after="60"/>
        <w:ind w:right="29"/>
        <w:contextualSpacing/>
        <w:jc w:val="center"/>
        <w:rPr>
          <w:rFonts w:ascii="Palatino Linotype" w:hAnsi="Palatino Linotype" w:cs="Tahoma"/>
          <w:b/>
          <w:color w:val="800000"/>
          <w:sz w:val="22"/>
          <w:szCs w:val="22"/>
        </w:rPr>
      </w:pPr>
      <w:r>
        <w:rPr>
          <w:rFonts w:ascii="Palatino Linotype" w:hAnsi="Palatino Linotype" w:cs="Tahoma"/>
          <w:b/>
          <w:noProof/>
          <w:color w:val="800000"/>
          <w:sz w:val="22"/>
          <w:szCs w:val="22"/>
          <w:lang w:eastAsia="es-ES"/>
        </w:rPr>
        <w:lastRenderedPageBreak/>
        <w:drawing>
          <wp:anchor distT="0" distB="0" distL="114300" distR="114300" simplePos="0" relativeHeight="251693056" behindDoc="1" locked="0" layoutInCell="1" allowOverlap="1">
            <wp:simplePos x="0" y="0"/>
            <wp:positionH relativeFrom="column">
              <wp:posOffset>-1176655</wp:posOffset>
            </wp:positionH>
            <wp:positionV relativeFrom="paragraph">
              <wp:posOffset>-521970</wp:posOffset>
            </wp:positionV>
            <wp:extent cx="800100" cy="10894695"/>
            <wp:effectExtent l="19050" t="0" r="0" b="0"/>
            <wp:wrapNone/>
            <wp:docPr id="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 cstate="print"/>
                    <a:srcRect/>
                    <a:stretch>
                      <a:fillRect/>
                    </a:stretch>
                  </pic:blipFill>
                  <pic:spPr bwMode="auto">
                    <a:xfrm>
                      <a:off x="0" y="0"/>
                      <a:ext cx="800100" cy="10894695"/>
                    </a:xfrm>
                    <a:prstGeom prst="rect">
                      <a:avLst/>
                    </a:prstGeom>
                    <a:noFill/>
                    <a:ln w="9525">
                      <a:noFill/>
                      <a:miter lim="800000"/>
                      <a:headEnd/>
                      <a:tailEnd/>
                    </a:ln>
                  </pic:spPr>
                </pic:pic>
              </a:graphicData>
            </a:graphic>
          </wp:anchor>
        </w:drawing>
      </w:r>
      <w:r w:rsidR="00642D79" w:rsidRPr="00555123">
        <w:rPr>
          <w:rFonts w:ascii="Palatino Linotype" w:hAnsi="Palatino Linotype" w:cs="Tahoma"/>
          <w:b/>
          <w:color w:val="800000"/>
          <w:sz w:val="22"/>
          <w:szCs w:val="22"/>
        </w:rPr>
        <w:t>ACTUALIZACIÓN DEL DIAGNÓSTICO DE INFLACIÓN</w:t>
      </w:r>
    </w:p>
    <w:p w:rsidR="00AE280C" w:rsidRDefault="00AE280C" w:rsidP="001317E3">
      <w:pPr>
        <w:widowControl/>
        <w:suppressAutoHyphens w:val="0"/>
        <w:jc w:val="both"/>
        <w:rPr>
          <w:rFonts w:ascii="Palatino Linotype" w:hAnsi="Palatino Linotype" w:cs="Tahoma"/>
          <w:color w:val="000000"/>
          <w:sz w:val="19"/>
          <w:szCs w:val="19"/>
        </w:rPr>
      </w:pPr>
    </w:p>
    <w:p w:rsidR="00866523" w:rsidRDefault="004D0451" w:rsidP="001317E3">
      <w:pPr>
        <w:widowControl/>
        <w:suppressAutoHyphens w:val="0"/>
        <w:jc w:val="both"/>
        <w:rPr>
          <w:rFonts w:ascii="Palatino Linotype" w:hAnsi="Palatino Linotype" w:cs="Tahoma"/>
          <w:color w:val="000000"/>
          <w:sz w:val="19"/>
          <w:szCs w:val="19"/>
        </w:rPr>
      </w:pPr>
      <w:r w:rsidRPr="005E1EDF">
        <w:rPr>
          <w:rFonts w:ascii="Palatino Linotype" w:hAnsi="Palatino Linotype" w:cs="Tahoma"/>
          <w:color w:val="000000"/>
          <w:sz w:val="19"/>
          <w:szCs w:val="19"/>
        </w:rPr>
        <w:t>La información publicada recientemente por el Instituto Nacional de Estadística (INE</w:t>
      </w:r>
      <w:r>
        <w:rPr>
          <w:rFonts w:ascii="Palatino Linotype" w:hAnsi="Palatino Linotype" w:cs="Tahoma"/>
          <w:color w:val="000000"/>
          <w:sz w:val="19"/>
          <w:szCs w:val="19"/>
        </w:rPr>
        <w:t xml:space="preserve">) da cuenta de un aumento </w:t>
      </w:r>
      <w:r w:rsidR="005E1EDF">
        <w:rPr>
          <w:rFonts w:ascii="Palatino Linotype" w:hAnsi="Palatino Linotype" w:cs="Tahoma"/>
          <w:color w:val="000000"/>
          <w:sz w:val="19"/>
          <w:szCs w:val="19"/>
        </w:rPr>
        <w:t xml:space="preserve">del 0,39% en el nivel de precios de la economía, medido a través del IPC, durante el mes de julio. Este guarismo se situó por encima de nuestra proyección puntual de (0,18%). La inflación interanual descendió de esta forma en 0,89 pp. </w:t>
      </w:r>
      <w:proofErr w:type="gramStart"/>
      <w:r w:rsidR="005E1EDF">
        <w:rPr>
          <w:rFonts w:ascii="Palatino Linotype" w:hAnsi="Palatino Linotype" w:cs="Tahoma"/>
          <w:color w:val="000000"/>
          <w:sz w:val="19"/>
          <w:szCs w:val="19"/>
        </w:rPr>
        <w:t>para</w:t>
      </w:r>
      <w:proofErr w:type="gramEnd"/>
      <w:r w:rsidR="005E1EDF">
        <w:rPr>
          <w:rFonts w:ascii="Palatino Linotype" w:hAnsi="Palatino Linotype" w:cs="Tahoma"/>
          <w:color w:val="000000"/>
          <w:sz w:val="19"/>
          <w:szCs w:val="19"/>
        </w:rPr>
        <w:t xml:space="preserve"> llegar a 10,05%, </w:t>
      </w:r>
      <w:r w:rsidR="00AE280C">
        <w:rPr>
          <w:rFonts w:ascii="Palatino Linotype" w:hAnsi="Palatino Linotype" w:cs="Tahoma"/>
          <w:color w:val="000000"/>
          <w:sz w:val="19"/>
          <w:szCs w:val="19"/>
        </w:rPr>
        <w:t xml:space="preserve">muy </w:t>
      </w:r>
      <w:r w:rsidR="005E1EDF">
        <w:rPr>
          <w:rFonts w:ascii="Palatino Linotype" w:hAnsi="Palatino Linotype" w:cs="Tahoma"/>
          <w:color w:val="000000"/>
          <w:sz w:val="19"/>
          <w:szCs w:val="19"/>
        </w:rPr>
        <w:t xml:space="preserve">cerca de </w:t>
      </w:r>
      <w:r w:rsidR="00AE280C">
        <w:rPr>
          <w:rFonts w:ascii="Palatino Linotype" w:hAnsi="Palatino Linotype" w:cs="Tahoma"/>
          <w:color w:val="000000"/>
          <w:sz w:val="19"/>
          <w:szCs w:val="19"/>
        </w:rPr>
        <w:t>retornar a niveles de un dígito</w:t>
      </w:r>
      <w:r w:rsidR="005E1EDF">
        <w:rPr>
          <w:rFonts w:ascii="Palatino Linotype" w:hAnsi="Palatino Linotype" w:cs="Tahoma"/>
          <w:color w:val="000000"/>
          <w:sz w:val="19"/>
          <w:szCs w:val="19"/>
        </w:rPr>
        <w:t>.</w:t>
      </w:r>
      <w:r w:rsidR="0063641D">
        <w:rPr>
          <w:rFonts w:ascii="Palatino Linotype" w:hAnsi="Palatino Linotype" w:cs="Tahoma"/>
          <w:color w:val="000000"/>
          <w:sz w:val="19"/>
          <w:szCs w:val="19"/>
        </w:rPr>
        <w:t xml:space="preserve"> Al interior de la canasta destacaron los rubros “Alimentos y </w:t>
      </w:r>
      <w:r w:rsidR="00866523">
        <w:rPr>
          <w:rFonts w:ascii="Palatino Linotype" w:hAnsi="Palatino Linotype" w:cs="Tahoma"/>
          <w:color w:val="000000"/>
          <w:sz w:val="19"/>
          <w:szCs w:val="19"/>
        </w:rPr>
        <w:t xml:space="preserve">bebidas no alcohólicas”, “Restaurantes y hoteles” y “Salud”, con incidencias de 0,11, 0,9 y 0,8 pp. </w:t>
      </w:r>
      <w:proofErr w:type="gramStart"/>
      <w:r w:rsidR="00866523">
        <w:rPr>
          <w:rFonts w:ascii="Palatino Linotype" w:hAnsi="Palatino Linotype" w:cs="Tahoma"/>
          <w:color w:val="000000"/>
          <w:sz w:val="19"/>
          <w:szCs w:val="19"/>
        </w:rPr>
        <w:t>respectivamente</w:t>
      </w:r>
      <w:proofErr w:type="gramEnd"/>
      <w:r w:rsidR="0063641D">
        <w:rPr>
          <w:rFonts w:ascii="Palatino Linotype" w:hAnsi="Palatino Linotype" w:cs="Tahoma"/>
          <w:color w:val="000000"/>
          <w:sz w:val="19"/>
          <w:szCs w:val="19"/>
        </w:rPr>
        <w:t>.</w:t>
      </w:r>
    </w:p>
    <w:p w:rsidR="00975A1E" w:rsidRDefault="00975A1E" w:rsidP="001317E3">
      <w:pPr>
        <w:widowControl/>
        <w:suppressAutoHyphens w:val="0"/>
        <w:jc w:val="both"/>
        <w:rPr>
          <w:rFonts w:ascii="Palatino Linotype" w:hAnsi="Palatino Linotype" w:cs="Tahoma"/>
          <w:color w:val="000000"/>
          <w:sz w:val="19"/>
          <w:szCs w:val="19"/>
        </w:rPr>
      </w:pPr>
    </w:p>
    <w:p w:rsidR="00563027" w:rsidRDefault="00AE280C" w:rsidP="001317E3">
      <w:pPr>
        <w:widowControl/>
        <w:suppressAutoHyphens w:val="0"/>
        <w:jc w:val="both"/>
      </w:pPr>
      <w:r>
        <w:rPr>
          <w:rFonts w:ascii="Palatino Linotype" w:hAnsi="Palatino Linotype" w:cs="Tahoma"/>
          <w:i/>
          <w:noProof/>
          <w:sz w:val="19"/>
          <w:szCs w:val="19"/>
          <w:lang w:eastAsia="es-ES"/>
        </w:rPr>
        <w:drawing>
          <wp:anchor distT="0" distB="0" distL="114300" distR="114300" simplePos="0" relativeHeight="251691008" behindDoc="1" locked="0" layoutInCell="1" allowOverlap="1">
            <wp:simplePos x="0" y="0"/>
            <wp:positionH relativeFrom="column">
              <wp:posOffset>-1176655</wp:posOffset>
            </wp:positionH>
            <wp:positionV relativeFrom="paragraph">
              <wp:posOffset>-530225</wp:posOffset>
            </wp:positionV>
            <wp:extent cx="800100" cy="10894695"/>
            <wp:effectExtent l="19050" t="0" r="0" b="0"/>
            <wp:wrapNone/>
            <wp:docPr id="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 cstate="print"/>
                    <a:srcRect/>
                    <a:stretch>
                      <a:fillRect/>
                    </a:stretch>
                  </pic:blipFill>
                  <pic:spPr bwMode="auto">
                    <a:xfrm>
                      <a:off x="0" y="0"/>
                      <a:ext cx="800100" cy="10894695"/>
                    </a:xfrm>
                    <a:prstGeom prst="rect">
                      <a:avLst/>
                    </a:prstGeom>
                    <a:noFill/>
                    <a:ln w="9525">
                      <a:noFill/>
                      <a:miter lim="800000"/>
                      <a:headEnd/>
                      <a:tailEnd/>
                    </a:ln>
                  </pic:spPr>
                </pic:pic>
              </a:graphicData>
            </a:graphic>
          </wp:anchor>
        </w:drawing>
      </w:r>
      <w:r w:rsidR="009427D0" w:rsidRPr="008850EB">
        <w:rPr>
          <w:rFonts w:ascii="Palatino Linotype" w:hAnsi="Palatino Linotype" w:cs="Tahoma"/>
          <w:i/>
          <w:sz w:val="19"/>
          <w:szCs w:val="19"/>
        </w:rPr>
        <w:t>Para acceder a</w:t>
      </w:r>
      <w:r w:rsidR="009427D0">
        <w:rPr>
          <w:rFonts w:ascii="Palatino Linotype" w:hAnsi="Palatino Linotype" w:cs="Tahoma"/>
          <w:i/>
          <w:sz w:val="19"/>
          <w:szCs w:val="19"/>
        </w:rPr>
        <w:t xml:space="preserve"> nuestro</w:t>
      </w:r>
      <w:r w:rsidR="009427D0" w:rsidRPr="008850EB">
        <w:rPr>
          <w:rFonts w:ascii="Palatino Linotype" w:hAnsi="Palatino Linotype" w:cs="Tahoma"/>
          <w:i/>
          <w:sz w:val="19"/>
          <w:szCs w:val="19"/>
        </w:rPr>
        <w:t xml:space="preserve"> análisis completo del </w:t>
      </w:r>
      <w:r w:rsidR="009427D0">
        <w:rPr>
          <w:rFonts w:ascii="Palatino Linotype" w:hAnsi="Palatino Linotype" w:cs="Tahoma"/>
          <w:i/>
          <w:sz w:val="19"/>
          <w:szCs w:val="19"/>
        </w:rPr>
        <w:t>último dato de inflación (julio 2016)</w:t>
      </w:r>
      <w:r w:rsidR="009427D0" w:rsidRPr="008850EB">
        <w:rPr>
          <w:rFonts w:ascii="Palatino Linotype" w:hAnsi="Palatino Linotype" w:cs="Tahoma"/>
          <w:i/>
          <w:sz w:val="19"/>
          <w:szCs w:val="19"/>
        </w:rPr>
        <w:t>,</w:t>
      </w:r>
      <w:r w:rsidR="009427D0" w:rsidRPr="00790B4A">
        <w:rPr>
          <w:noProof/>
          <w:szCs w:val="19"/>
          <w:lang w:val="es-UY" w:eastAsia="en-US"/>
        </w:rPr>
        <w:t xml:space="preserve"> </w:t>
      </w:r>
      <w:hyperlink r:id="rId14" w:history="1">
        <w:r w:rsidR="009427D0">
          <w:rPr>
            <w:rStyle w:val="Hipervnculo"/>
            <w:rFonts w:ascii="Palatino Linotype" w:hAnsi="Palatino Linotype"/>
            <w:b/>
            <w:noProof/>
            <w:color w:val="auto"/>
            <w:sz w:val="19"/>
            <w:szCs w:val="19"/>
            <w:lang w:val="es-UY" w:eastAsia="en-US"/>
          </w:rPr>
          <w:t>hacer click aquí</w:t>
        </w:r>
      </w:hyperlink>
    </w:p>
    <w:p w:rsidR="009427D0" w:rsidRDefault="009427D0" w:rsidP="001317E3">
      <w:pPr>
        <w:widowControl/>
        <w:suppressAutoHyphens w:val="0"/>
        <w:jc w:val="both"/>
        <w:rPr>
          <w:rFonts w:ascii="Palatino Linotype" w:hAnsi="Palatino Linotype" w:cs="Tahoma"/>
          <w:color w:val="000000"/>
          <w:sz w:val="19"/>
          <w:szCs w:val="19"/>
        </w:rPr>
      </w:pPr>
      <w:r w:rsidRPr="009427D0">
        <w:rPr>
          <w:noProof/>
          <w:szCs w:val="19"/>
          <w:lang w:eastAsia="es-ES"/>
        </w:rPr>
        <w:drawing>
          <wp:inline distT="0" distB="0" distL="0" distR="0">
            <wp:extent cx="6019441" cy="2354400"/>
            <wp:effectExtent l="19050" t="0" r="359"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019441" cy="2354400"/>
                    </a:xfrm>
                    <a:prstGeom prst="rect">
                      <a:avLst/>
                    </a:prstGeom>
                    <a:noFill/>
                    <a:ln w="9525">
                      <a:noFill/>
                      <a:miter lim="800000"/>
                      <a:headEnd/>
                      <a:tailEnd/>
                    </a:ln>
                  </pic:spPr>
                </pic:pic>
              </a:graphicData>
            </a:graphic>
          </wp:inline>
        </w:drawing>
      </w:r>
    </w:p>
    <w:p w:rsidR="002F368D" w:rsidRDefault="00866523" w:rsidP="00866523">
      <w:pPr>
        <w:pStyle w:val="clavestexto"/>
        <w:spacing w:before="120" w:after="120"/>
        <w:rPr>
          <w:rFonts w:ascii="Palatino Linotype" w:hAnsi="Palatino Linotype" w:cs="Tahoma"/>
          <w:color w:val="auto"/>
          <w:sz w:val="19"/>
          <w:szCs w:val="19"/>
        </w:rPr>
      </w:pPr>
      <w:r>
        <w:rPr>
          <w:rFonts w:ascii="Palatino Linotype" w:hAnsi="Palatino Linotype" w:cs="Tahoma"/>
          <w:color w:val="auto"/>
          <w:sz w:val="19"/>
          <w:szCs w:val="19"/>
        </w:rPr>
        <w:t>A continuación se presenta una síntesis de los principales sucesos en el escenario relevante para nuestras proyecciones.</w:t>
      </w:r>
    </w:p>
    <w:p w:rsidR="003101AD" w:rsidRDefault="002F368D" w:rsidP="00866523">
      <w:pPr>
        <w:pStyle w:val="clavestexto"/>
        <w:spacing w:before="120" w:after="120"/>
        <w:rPr>
          <w:rFonts w:ascii="Palatino Linotype" w:hAnsi="Palatino Linotype" w:cs="Tahoma"/>
          <w:color w:val="auto"/>
          <w:sz w:val="19"/>
          <w:szCs w:val="19"/>
        </w:rPr>
      </w:pPr>
      <w:r>
        <w:rPr>
          <w:rFonts w:ascii="Palatino Linotype" w:hAnsi="Palatino Linotype" w:cs="Tahoma"/>
          <w:color w:val="auto"/>
          <w:sz w:val="19"/>
          <w:szCs w:val="19"/>
        </w:rPr>
        <w:t xml:space="preserve">A nivel internacional, algunos miembros de la </w:t>
      </w:r>
      <w:r>
        <w:rPr>
          <w:rFonts w:ascii="Palatino Linotype" w:hAnsi="Palatino Linotype" w:cs="Tahoma"/>
          <w:i/>
          <w:color w:val="auto"/>
          <w:sz w:val="19"/>
          <w:szCs w:val="19"/>
        </w:rPr>
        <w:t xml:space="preserve">Federal Open </w:t>
      </w:r>
      <w:proofErr w:type="spellStart"/>
      <w:r>
        <w:rPr>
          <w:rFonts w:ascii="Palatino Linotype" w:hAnsi="Palatino Linotype" w:cs="Tahoma"/>
          <w:i/>
          <w:color w:val="auto"/>
          <w:sz w:val="19"/>
          <w:szCs w:val="19"/>
        </w:rPr>
        <w:t>Market</w:t>
      </w:r>
      <w:proofErr w:type="spellEnd"/>
      <w:r>
        <w:rPr>
          <w:rFonts w:ascii="Palatino Linotype" w:hAnsi="Palatino Linotype" w:cs="Tahoma"/>
          <w:i/>
          <w:color w:val="auto"/>
          <w:sz w:val="19"/>
          <w:szCs w:val="19"/>
        </w:rPr>
        <w:t xml:space="preserve"> </w:t>
      </w:r>
      <w:proofErr w:type="spellStart"/>
      <w:r>
        <w:rPr>
          <w:rFonts w:ascii="Palatino Linotype" w:hAnsi="Palatino Linotype" w:cs="Tahoma"/>
          <w:i/>
          <w:color w:val="auto"/>
          <w:sz w:val="19"/>
          <w:szCs w:val="19"/>
        </w:rPr>
        <w:t>Committee</w:t>
      </w:r>
      <w:proofErr w:type="spellEnd"/>
      <w:r w:rsidR="003E6DA4">
        <w:rPr>
          <w:rFonts w:ascii="Palatino Linotype" w:hAnsi="Palatino Linotype" w:cs="Tahoma"/>
          <w:color w:val="auto"/>
          <w:sz w:val="19"/>
          <w:szCs w:val="19"/>
        </w:rPr>
        <w:t xml:space="preserve"> (FOMC) han manifestado que es posible que  exista </w:t>
      </w:r>
      <w:r>
        <w:rPr>
          <w:rFonts w:ascii="Palatino Linotype" w:hAnsi="Palatino Linotype" w:cs="Tahoma"/>
          <w:color w:val="auto"/>
          <w:sz w:val="19"/>
          <w:szCs w:val="19"/>
        </w:rPr>
        <w:t>una suba de tasas tras su próxima reunión, que se celebrará los días 20 y 21 de setiembre</w:t>
      </w:r>
      <w:r w:rsidR="003E6DA4">
        <w:rPr>
          <w:rFonts w:ascii="Palatino Linotype" w:hAnsi="Palatino Linotype" w:cs="Tahoma"/>
          <w:color w:val="auto"/>
          <w:sz w:val="19"/>
          <w:szCs w:val="19"/>
        </w:rPr>
        <w:t xml:space="preserve">, en virtud de los datos positivos sobre creación de empleo que han sido publicados en los últimos meses y el alineamiento de la inflación tendencial y el desempleo con los objetivos de la Fed. </w:t>
      </w:r>
      <w:r w:rsidR="00E22D67">
        <w:rPr>
          <w:rFonts w:ascii="Palatino Linotype" w:hAnsi="Palatino Linotype" w:cs="Tahoma"/>
          <w:color w:val="auto"/>
          <w:sz w:val="19"/>
          <w:szCs w:val="19"/>
        </w:rPr>
        <w:t xml:space="preserve">Asimismo han señalado anteriormente que aún esperan realizar dos subas de tasas en 2016. Sin embargo, los precios de los futuros de fondos de la Fed en los mercados financieros indican que los inversores financieros le asignan una probabilidad muy baja a un aumento en la reunión se setiembre o la de noviembre, y aproximadamente un 50% de probabilidad a un aumento en diciembre. </w:t>
      </w:r>
      <w:r w:rsidR="0099590B">
        <w:rPr>
          <w:rFonts w:ascii="Palatino Linotype" w:hAnsi="Palatino Linotype" w:cs="Tahoma"/>
          <w:color w:val="auto"/>
          <w:sz w:val="19"/>
          <w:szCs w:val="19"/>
        </w:rPr>
        <w:t>La falta de credibilidad podría afectar la capacidad de la Fed de aumentar tasas, puesto que podría querer</w:t>
      </w:r>
      <w:r w:rsidR="00A324AE">
        <w:rPr>
          <w:rFonts w:ascii="Palatino Linotype" w:hAnsi="Palatino Linotype" w:cs="Tahoma"/>
          <w:color w:val="auto"/>
          <w:sz w:val="19"/>
          <w:szCs w:val="19"/>
        </w:rPr>
        <w:t xml:space="preserve"> evitar dar sorpresas: en 2013 </w:t>
      </w:r>
      <w:r w:rsidR="0099590B">
        <w:rPr>
          <w:rFonts w:ascii="Palatino Linotype" w:hAnsi="Palatino Linotype" w:cs="Tahoma"/>
          <w:color w:val="auto"/>
          <w:sz w:val="19"/>
          <w:szCs w:val="19"/>
        </w:rPr>
        <w:t xml:space="preserve">una señal inesperada por parte del </w:t>
      </w:r>
      <w:r w:rsidR="00A324AE">
        <w:rPr>
          <w:rFonts w:ascii="Palatino Linotype" w:hAnsi="Palatino Linotype" w:cs="Tahoma"/>
          <w:color w:val="auto"/>
          <w:sz w:val="19"/>
          <w:szCs w:val="19"/>
        </w:rPr>
        <w:t>b</w:t>
      </w:r>
      <w:r w:rsidR="0099590B">
        <w:rPr>
          <w:rFonts w:ascii="Palatino Linotype" w:hAnsi="Palatino Linotype" w:cs="Tahoma"/>
          <w:color w:val="auto"/>
          <w:sz w:val="19"/>
          <w:szCs w:val="19"/>
        </w:rPr>
        <w:t>anco de que concluiría su programa de compra de bonos</w:t>
      </w:r>
      <w:r w:rsidR="00A324AE">
        <w:rPr>
          <w:rFonts w:ascii="Palatino Linotype" w:hAnsi="Palatino Linotype" w:cs="Tahoma"/>
          <w:color w:val="auto"/>
          <w:sz w:val="19"/>
          <w:szCs w:val="19"/>
        </w:rPr>
        <w:t xml:space="preserve"> dio lugar a turbulencias en los mercados financieros.</w:t>
      </w:r>
      <w:r w:rsidR="003101AD">
        <w:rPr>
          <w:rFonts w:ascii="Palatino Linotype" w:hAnsi="Palatino Linotype" w:cs="Tahoma"/>
          <w:color w:val="auto"/>
          <w:sz w:val="19"/>
          <w:szCs w:val="19"/>
        </w:rPr>
        <w:t xml:space="preserve"> Además, algunos analistas han argumentado que aumentar tasas reduciría excesivamente la pendiente de la curva de rendimientos, perjudicando la actividad de intermediación financiera.</w:t>
      </w:r>
      <w:r w:rsidR="00F124D3">
        <w:rPr>
          <w:rFonts w:ascii="Palatino Linotype" w:hAnsi="Palatino Linotype" w:cs="Tahoma"/>
          <w:color w:val="auto"/>
          <w:sz w:val="19"/>
          <w:szCs w:val="19"/>
        </w:rPr>
        <w:t xml:space="preserve"> La decisión que se tome sobre las tasas de interés impactará sobre la cotización del dólar, pudiendo contribuir a la reversión de la trayectoria descendente de los últimos meses.</w:t>
      </w:r>
    </w:p>
    <w:p w:rsidR="00A324AE" w:rsidRDefault="00F124D3" w:rsidP="00866523">
      <w:pPr>
        <w:pStyle w:val="clavestexto"/>
        <w:spacing w:before="120" w:after="120"/>
        <w:rPr>
          <w:rFonts w:ascii="Palatino Linotype" w:hAnsi="Palatino Linotype" w:cs="Tahoma"/>
          <w:color w:val="auto"/>
          <w:sz w:val="19"/>
          <w:szCs w:val="19"/>
        </w:rPr>
      </w:pPr>
      <w:r>
        <w:rPr>
          <w:rFonts w:ascii="Palatino Linotype" w:hAnsi="Palatino Linotype" w:cs="Tahoma"/>
          <w:color w:val="auto"/>
          <w:sz w:val="19"/>
          <w:szCs w:val="19"/>
        </w:rPr>
        <w:t>En el plano regional,</w:t>
      </w:r>
      <w:r w:rsidR="003101AD">
        <w:rPr>
          <w:rFonts w:ascii="Palatino Linotype" w:hAnsi="Palatino Linotype" w:cs="Tahoma"/>
          <w:color w:val="auto"/>
          <w:sz w:val="19"/>
          <w:szCs w:val="19"/>
        </w:rPr>
        <w:t xml:space="preserve"> </w:t>
      </w:r>
      <w:r w:rsidR="000C19EE">
        <w:rPr>
          <w:rFonts w:ascii="Palatino Linotype" w:hAnsi="Palatino Linotype" w:cs="Tahoma"/>
          <w:color w:val="auto"/>
          <w:sz w:val="19"/>
          <w:szCs w:val="19"/>
        </w:rPr>
        <w:t xml:space="preserve">en Argentina se vio el primer descenso esperanzador de la inflación mensual, que según el INDEC fue de 2% en julio para el Gran Buenos Aires. </w:t>
      </w:r>
      <w:r w:rsidR="00175FAF">
        <w:rPr>
          <w:rFonts w:ascii="Palatino Linotype" w:hAnsi="Palatino Linotype" w:cs="Tahoma"/>
          <w:color w:val="auto"/>
          <w:sz w:val="19"/>
          <w:szCs w:val="19"/>
        </w:rPr>
        <w:t>Asimismo, la Corte Suprema anuló el aumento de las tarifas de gas realizado por el gobierno</w:t>
      </w:r>
      <w:r w:rsidR="000366BC">
        <w:rPr>
          <w:rFonts w:ascii="Palatino Linotype" w:hAnsi="Palatino Linotype" w:cs="Tahoma"/>
          <w:color w:val="auto"/>
          <w:sz w:val="19"/>
          <w:szCs w:val="19"/>
        </w:rPr>
        <w:t xml:space="preserve">, lo cual podría llevar a que se registre un dato deflacionario puntual en agosto, y tendrá consecuencias sobre las cuentas públicas al no poder reducirse los subsidios de la forma planificada. En Brasil comenzará jueves 25 de agosto la etapa final del </w:t>
      </w:r>
      <w:r w:rsidR="00596839">
        <w:rPr>
          <w:rFonts w:ascii="Palatino Linotype" w:hAnsi="Palatino Linotype" w:cs="Tahoma"/>
          <w:color w:val="auto"/>
          <w:sz w:val="19"/>
          <w:szCs w:val="19"/>
        </w:rPr>
        <w:t xml:space="preserve">juicio político a </w:t>
      </w:r>
      <w:proofErr w:type="spellStart"/>
      <w:r w:rsidR="00596839">
        <w:rPr>
          <w:rFonts w:ascii="Palatino Linotype" w:hAnsi="Palatino Linotype" w:cs="Tahoma"/>
          <w:color w:val="auto"/>
          <w:sz w:val="19"/>
          <w:szCs w:val="19"/>
        </w:rPr>
        <w:t>Dilma</w:t>
      </w:r>
      <w:proofErr w:type="spellEnd"/>
      <w:r w:rsidR="00596839">
        <w:rPr>
          <w:rFonts w:ascii="Palatino Linotype" w:hAnsi="Palatino Linotype" w:cs="Tahoma"/>
          <w:color w:val="auto"/>
          <w:sz w:val="19"/>
          <w:szCs w:val="19"/>
        </w:rPr>
        <w:t xml:space="preserve"> </w:t>
      </w:r>
      <w:proofErr w:type="spellStart"/>
      <w:r w:rsidR="00596839">
        <w:rPr>
          <w:rFonts w:ascii="Palatino Linotype" w:hAnsi="Palatino Linotype" w:cs="Tahoma"/>
          <w:color w:val="auto"/>
          <w:sz w:val="19"/>
          <w:szCs w:val="19"/>
        </w:rPr>
        <w:t>Rousseff</w:t>
      </w:r>
      <w:proofErr w:type="spellEnd"/>
      <w:r w:rsidR="00596839">
        <w:rPr>
          <w:rFonts w:ascii="Palatino Linotype" w:hAnsi="Palatino Linotype" w:cs="Tahoma"/>
          <w:color w:val="auto"/>
          <w:sz w:val="19"/>
          <w:szCs w:val="19"/>
        </w:rPr>
        <w:t xml:space="preserve">, cuyo resultado podrá llevar a su restitución o a la consolidación de Michel Temer en su rol actual de presidente. A lo anterior se suma que </w:t>
      </w:r>
      <w:proofErr w:type="spellStart"/>
      <w:r w:rsidR="00596839">
        <w:rPr>
          <w:rFonts w:ascii="Palatino Linotype" w:hAnsi="Palatino Linotype" w:cs="Tahoma"/>
          <w:color w:val="auto"/>
          <w:sz w:val="19"/>
          <w:szCs w:val="19"/>
        </w:rPr>
        <w:t>Rousseff</w:t>
      </w:r>
      <w:proofErr w:type="spellEnd"/>
      <w:r w:rsidR="00596839">
        <w:rPr>
          <w:rFonts w:ascii="Palatino Linotype" w:hAnsi="Palatino Linotype" w:cs="Tahoma"/>
          <w:color w:val="auto"/>
          <w:sz w:val="19"/>
          <w:szCs w:val="19"/>
        </w:rPr>
        <w:t xml:space="preserve"> ha apoyado recientemente la idea de realizar elecciones anticipadas, que en caso de existir podrían  determinar una nueva configuración política y un presidente con mayor respaldo popular y en el Parlamento. La estabilidad política es clave para la economía brasileña, de forma que las modificaciones a la estructura política que pudiesen resultar de la culminación del juicio político y de las eventuales elecciones anticipadas serán de interés para analizar su desempeño económico y las consecuencias del mismo sobre Uruguay.</w:t>
      </w:r>
    </w:p>
    <w:p w:rsidR="00596839" w:rsidRPr="00303A92" w:rsidRDefault="0064634D" w:rsidP="00866523">
      <w:pPr>
        <w:pStyle w:val="clavestexto"/>
        <w:spacing w:before="120" w:after="120"/>
        <w:rPr>
          <w:rFonts w:ascii="Palatino Linotype" w:hAnsi="Palatino Linotype" w:cs="Tahoma"/>
          <w:i/>
          <w:color w:val="auto"/>
          <w:sz w:val="19"/>
          <w:szCs w:val="19"/>
        </w:rPr>
      </w:pPr>
      <w:r>
        <w:rPr>
          <w:rFonts w:ascii="Palatino Linotype" w:hAnsi="Palatino Linotype" w:cs="Tahoma"/>
          <w:color w:val="auto"/>
          <w:sz w:val="19"/>
          <w:szCs w:val="19"/>
        </w:rPr>
        <w:t xml:space="preserve">El precio del petróleo, por su parte, mostró un repunte en agosto, </w:t>
      </w:r>
      <w:r w:rsidR="005F785C">
        <w:rPr>
          <w:rFonts w:ascii="Palatino Linotype" w:hAnsi="Palatino Linotype" w:cs="Tahoma"/>
          <w:color w:val="auto"/>
          <w:sz w:val="19"/>
          <w:szCs w:val="19"/>
        </w:rPr>
        <w:t xml:space="preserve">con el barril de crudo de </w:t>
      </w:r>
      <w:r w:rsidR="005F785C">
        <w:rPr>
          <w:rFonts w:ascii="Palatino Linotype" w:hAnsi="Palatino Linotype" w:cs="Tahoma"/>
          <w:i/>
          <w:color w:val="auto"/>
          <w:sz w:val="19"/>
          <w:szCs w:val="19"/>
        </w:rPr>
        <w:t xml:space="preserve">West Texas </w:t>
      </w:r>
      <w:proofErr w:type="spellStart"/>
      <w:r w:rsidR="005F785C">
        <w:rPr>
          <w:rFonts w:ascii="Palatino Linotype" w:hAnsi="Palatino Linotype" w:cs="Tahoma"/>
          <w:i/>
          <w:color w:val="auto"/>
          <w:sz w:val="19"/>
          <w:szCs w:val="19"/>
        </w:rPr>
        <w:t>Intermediate</w:t>
      </w:r>
      <w:proofErr w:type="spellEnd"/>
      <w:r w:rsidR="005F785C">
        <w:rPr>
          <w:rFonts w:ascii="Palatino Linotype" w:hAnsi="Palatino Linotype" w:cs="Tahoma"/>
          <w:color w:val="auto"/>
          <w:sz w:val="19"/>
          <w:szCs w:val="19"/>
        </w:rPr>
        <w:t xml:space="preserve"> (WTI) volviendo a cotizar a precios superiores a los 48 dólares. Esto ha estado parcialmente vinculado a las expectativas generadas por la reunión inform</w:t>
      </w:r>
      <w:r w:rsidR="00157428">
        <w:rPr>
          <w:rFonts w:ascii="Palatino Linotype" w:hAnsi="Palatino Linotype" w:cs="Tahoma"/>
          <w:color w:val="auto"/>
          <w:sz w:val="19"/>
          <w:szCs w:val="19"/>
        </w:rPr>
        <w:t xml:space="preserve">al de varios miembros de la OPEP y algunos otros productores de petróleo, como Rusia, que podría dar lugar a un </w:t>
      </w:r>
      <w:r w:rsidR="00497245">
        <w:rPr>
          <w:rFonts w:ascii="Palatino Linotype" w:hAnsi="Palatino Linotype" w:cs="Tahoma"/>
          <w:color w:val="auto"/>
          <w:sz w:val="19"/>
          <w:szCs w:val="19"/>
        </w:rPr>
        <w:t xml:space="preserve">convenio </w:t>
      </w:r>
      <w:r w:rsidR="00157428">
        <w:rPr>
          <w:rFonts w:ascii="Palatino Linotype" w:hAnsi="Palatino Linotype" w:cs="Tahoma"/>
          <w:color w:val="auto"/>
          <w:sz w:val="19"/>
          <w:szCs w:val="19"/>
        </w:rPr>
        <w:t xml:space="preserve">para restringir la producción. Sin embargo, algunos analistas han considerado que parece difícil que se llegue a un acuerdo por el mal estado de las relaciones entre </w:t>
      </w:r>
      <w:r w:rsidR="00157428">
        <w:rPr>
          <w:rFonts w:ascii="Palatino Linotype" w:hAnsi="Palatino Linotype" w:cs="Tahoma"/>
          <w:color w:val="auto"/>
          <w:sz w:val="19"/>
          <w:szCs w:val="19"/>
        </w:rPr>
        <w:lastRenderedPageBreak/>
        <w:t xml:space="preserve">Arabia Saudita e Irán, señalando que en abril ocurrió algo similar y el acuerdo finalmente no se dio. Esto sugiere que la suba es </w:t>
      </w:r>
      <w:r w:rsidR="00303A92">
        <w:rPr>
          <w:rFonts w:ascii="Palatino Linotype" w:hAnsi="Palatino Linotype" w:cs="Tahoma"/>
          <w:color w:val="auto"/>
          <w:sz w:val="19"/>
          <w:szCs w:val="19"/>
        </w:rPr>
        <w:t>pasajera</w:t>
      </w:r>
      <w:r w:rsidR="00157428">
        <w:rPr>
          <w:rFonts w:ascii="Palatino Linotype" w:hAnsi="Palatino Linotype" w:cs="Tahoma"/>
          <w:color w:val="auto"/>
          <w:sz w:val="19"/>
          <w:szCs w:val="19"/>
        </w:rPr>
        <w:t xml:space="preserve"> </w:t>
      </w:r>
      <w:r w:rsidR="00303A92">
        <w:rPr>
          <w:rFonts w:ascii="Palatino Linotype" w:hAnsi="Palatino Linotype" w:cs="Tahoma"/>
          <w:color w:val="auto"/>
          <w:sz w:val="19"/>
          <w:szCs w:val="19"/>
        </w:rPr>
        <w:t xml:space="preserve">y </w:t>
      </w:r>
      <w:r w:rsidR="008313D5">
        <w:rPr>
          <w:rFonts w:ascii="Palatino Linotype" w:hAnsi="Palatino Linotype" w:cs="Tahoma"/>
          <w:color w:val="auto"/>
          <w:sz w:val="19"/>
          <w:szCs w:val="19"/>
        </w:rPr>
        <w:t xml:space="preserve">pueden verificarse nuevas caídas </w:t>
      </w:r>
      <w:r w:rsidR="000D509D">
        <w:rPr>
          <w:rFonts w:ascii="Palatino Linotype" w:hAnsi="Palatino Linotype" w:cs="Tahoma"/>
          <w:color w:val="auto"/>
          <w:sz w:val="19"/>
          <w:szCs w:val="19"/>
        </w:rPr>
        <w:t>en el futuro.</w:t>
      </w:r>
      <w:r w:rsidR="002C0665">
        <w:rPr>
          <w:rFonts w:ascii="Palatino Linotype" w:hAnsi="Palatino Linotype" w:cs="Tahoma"/>
          <w:color w:val="auto"/>
          <w:sz w:val="19"/>
          <w:szCs w:val="19"/>
        </w:rPr>
        <w:t xml:space="preserve"> Además, algunos países han dado señales de que</w:t>
      </w:r>
      <w:r w:rsidR="00506DCA">
        <w:rPr>
          <w:rFonts w:ascii="Palatino Linotype" w:hAnsi="Palatino Linotype" w:cs="Tahoma"/>
          <w:color w:val="auto"/>
          <w:sz w:val="19"/>
          <w:szCs w:val="19"/>
        </w:rPr>
        <w:t xml:space="preserve"> incrementarán su producción, entre ellos Arabia Saudita, que está produciendo a niveles récord. Por estas razones esperamos que el aumento de precios reciente se revierta o al menos detenga en el corto y mediano plazo, aunque podría impactar en sentido contrario una apreciación del dólar, por ejemplo causada por una suba de tasas de la Fed.</w:t>
      </w:r>
    </w:p>
    <w:p w:rsidR="006312F0" w:rsidRDefault="00975A1E" w:rsidP="00866523">
      <w:pPr>
        <w:pStyle w:val="clavestexto"/>
        <w:spacing w:before="120" w:after="120"/>
        <w:rPr>
          <w:rFonts w:ascii="Palatino Linotype" w:hAnsi="Palatino Linotype" w:cs="Tahoma"/>
          <w:color w:val="auto"/>
          <w:sz w:val="19"/>
          <w:szCs w:val="19"/>
        </w:rPr>
      </w:pPr>
      <w:r>
        <w:rPr>
          <w:rFonts w:ascii="Palatino Linotype" w:hAnsi="Palatino Linotype" w:cs="Tahoma"/>
          <w:noProof/>
          <w:color w:val="auto"/>
          <w:sz w:val="19"/>
          <w:szCs w:val="19"/>
          <w:lang w:eastAsia="es-ES"/>
        </w:rPr>
        <w:drawing>
          <wp:anchor distT="0" distB="0" distL="114300" distR="114300" simplePos="0" relativeHeight="251695104" behindDoc="1" locked="0" layoutInCell="1" allowOverlap="1">
            <wp:simplePos x="0" y="0"/>
            <wp:positionH relativeFrom="column">
              <wp:posOffset>-1177134</wp:posOffset>
            </wp:positionH>
            <wp:positionV relativeFrom="paragraph">
              <wp:posOffset>-1574800</wp:posOffset>
            </wp:positionV>
            <wp:extent cx="800460" cy="10895162"/>
            <wp:effectExtent l="19050" t="0" r="0" b="0"/>
            <wp:wrapNone/>
            <wp:docPr id="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8" cstate="print"/>
                    <a:srcRect/>
                    <a:stretch>
                      <a:fillRect/>
                    </a:stretch>
                  </pic:blipFill>
                  <pic:spPr bwMode="auto">
                    <a:xfrm>
                      <a:off x="0" y="0"/>
                      <a:ext cx="800460" cy="10895162"/>
                    </a:xfrm>
                    <a:prstGeom prst="rect">
                      <a:avLst/>
                    </a:prstGeom>
                    <a:noFill/>
                    <a:ln w="9525">
                      <a:noFill/>
                      <a:miter lim="800000"/>
                      <a:headEnd/>
                      <a:tailEnd/>
                    </a:ln>
                  </pic:spPr>
                </pic:pic>
              </a:graphicData>
            </a:graphic>
          </wp:anchor>
        </w:drawing>
      </w:r>
      <w:r w:rsidR="001C7393">
        <w:rPr>
          <w:rFonts w:ascii="Palatino Linotype" w:hAnsi="Palatino Linotype" w:cs="Tahoma"/>
          <w:color w:val="auto"/>
          <w:sz w:val="19"/>
          <w:szCs w:val="19"/>
        </w:rPr>
        <w:t>La cotización del dólar en pesos continuó cayendo, esta vez de forma más marcada: cuando a fines de</w:t>
      </w:r>
      <w:r w:rsidR="002538EE">
        <w:rPr>
          <w:rFonts w:ascii="Palatino Linotype" w:hAnsi="Palatino Linotype" w:cs="Tahoma"/>
          <w:color w:val="auto"/>
          <w:sz w:val="19"/>
          <w:szCs w:val="19"/>
        </w:rPr>
        <w:t xml:space="preserve"> julio había cerrado a $29,8, en la última semana pareció estabilizarse en valores ligeramente superiores </w:t>
      </w:r>
      <w:r w:rsidR="001C7393">
        <w:rPr>
          <w:rFonts w:ascii="Palatino Linotype" w:hAnsi="Palatino Linotype" w:cs="Tahoma"/>
          <w:color w:val="auto"/>
          <w:sz w:val="19"/>
          <w:szCs w:val="19"/>
        </w:rPr>
        <w:t>a $28,5.</w:t>
      </w:r>
      <w:r w:rsidR="00887C68">
        <w:rPr>
          <w:rFonts w:ascii="Palatino Linotype" w:hAnsi="Palatino Linotype" w:cs="Tahoma"/>
          <w:color w:val="auto"/>
          <w:sz w:val="19"/>
          <w:szCs w:val="19"/>
        </w:rPr>
        <w:t xml:space="preserve"> </w:t>
      </w:r>
      <w:r w:rsidR="002538EE">
        <w:rPr>
          <w:rFonts w:ascii="Palatino Linotype" w:hAnsi="Palatino Linotype" w:cs="Tahoma"/>
          <w:color w:val="auto"/>
          <w:sz w:val="19"/>
          <w:szCs w:val="19"/>
        </w:rPr>
        <w:t xml:space="preserve">La cotización promedio mensual disminuiría de esta manera en cerca de 4%, la caída mensual más pronunciada del año luego de meses de apreciación del peso. </w:t>
      </w:r>
      <w:r w:rsidR="006312F0">
        <w:rPr>
          <w:rFonts w:ascii="Palatino Linotype" w:hAnsi="Palatino Linotype" w:cs="Tahoma"/>
          <w:color w:val="auto"/>
          <w:sz w:val="19"/>
          <w:szCs w:val="19"/>
        </w:rPr>
        <w:t>Pese a la presión a la baja que ejerce sobre la inflación, esta tendencia ha generado preocupación en el gobierno por disminuir la competitividad y rentabilidad de los sectores exportadores, por lo que se han instrumenta</w:t>
      </w:r>
      <w:r w:rsidR="001400E9">
        <w:rPr>
          <w:rFonts w:ascii="Palatino Linotype" w:hAnsi="Palatino Linotype" w:cs="Tahoma"/>
          <w:color w:val="auto"/>
          <w:sz w:val="19"/>
          <w:szCs w:val="19"/>
        </w:rPr>
        <w:t>do medidas para poner un piso a la cotización del dólar</w:t>
      </w:r>
      <w:r w:rsidR="006312F0">
        <w:rPr>
          <w:rFonts w:ascii="Palatino Linotype" w:hAnsi="Palatino Linotype" w:cs="Tahoma"/>
          <w:color w:val="auto"/>
          <w:sz w:val="19"/>
          <w:szCs w:val="19"/>
        </w:rPr>
        <w:t xml:space="preserve">. Además de </w:t>
      </w:r>
      <w:r w:rsidR="001400E9">
        <w:rPr>
          <w:rFonts w:ascii="Palatino Linotype" w:hAnsi="Palatino Linotype" w:cs="Tahoma"/>
          <w:color w:val="auto"/>
          <w:sz w:val="19"/>
          <w:szCs w:val="19"/>
        </w:rPr>
        <w:t>compras de dólares por parte del Banco Central, se ha vuelto a permitir que las empresas públicas obtengan tipo de cambio era alcista,</w:t>
      </w:r>
      <w:r w:rsidR="00616C77">
        <w:rPr>
          <w:rFonts w:ascii="Palatino Linotype" w:hAnsi="Palatino Linotype" w:cs="Tahoma"/>
          <w:color w:val="auto"/>
          <w:sz w:val="19"/>
          <w:szCs w:val="19"/>
        </w:rPr>
        <w:t xml:space="preserve"> y requiriéndose la adquisición de</w:t>
      </w:r>
      <w:r w:rsidR="001400E9">
        <w:rPr>
          <w:rFonts w:ascii="Palatino Linotype" w:hAnsi="Palatino Linotype" w:cs="Tahoma"/>
          <w:color w:val="auto"/>
          <w:sz w:val="19"/>
          <w:szCs w:val="19"/>
        </w:rPr>
        <w:t xml:space="preserve"> dólares </w:t>
      </w:r>
      <w:r w:rsidR="00616C77">
        <w:rPr>
          <w:rFonts w:ascii="Palatino Linotype" w:hAnsi="Palatino Linotype" w:cs="Tahoma"/>
          <w:color w:val="auto"/>
          <w:sz w:val="19"/>
          <w:szCs w:val="19"/>
        </w:rPr>
        <w:t>en este mercado a los tenedores de deuda del Banco Central con vencimiento en agosto que quisieran llevar la deuda liquidada a</w:t>
      </w:r>
      <w:r w:rsidR="006720BC">
        <w:rPr>
          <w:rFonts w:ascii="Palatino Linotype" w:hAnsi="Palatino Linotype" w:cs="Tahoma"/>
          <w:color w:val="auto"/>
          <w:sz w:val="19"/>
          <w:szCs w:val="19"/>
        </w:rPr>
        <w:t>l exterior en dólares. Con esto</w:t>
      </w:r>
      <w:r w:rsidR="00616C77">
        <w:rPr>
          <w:rFonts w:ascii="Palatino Linotype" w:hAnsi="Palatino Linotype" w:cs="Tahoma"/>
          <w:color w:val="auto"/>
          <w:sz w:val="19"/>
          <w:szCs w:val="19"/>
        </w:rPr>
        <w:t xml:space="preserve"> se logró una estabilización del dólar por encima de los $28,5 en la última semana, luego de que cerrara a un valor inferior a este guarismo el día 18 de agosto.</w:t>
      </w:r>
      <w:r w:rsidR="00851BEB">
        <w:rPr>
          <w:rFonts w:ascii="Palatino Linotype" w:hAnsi="Palatino Linotype" w:cs="Tahoma"/>
          <w:color w:val="auto"/>
          <w:sz w:val="19"/>
          <w:szCs w:val="19"/>
        </w:rPr>
        <w:t xml:space="preserve"> En base a esta dinámica se han corregido a la baja las proyecciones de cotización del dólar para lo que resta de 2016, aunque se continúa esperando una reversión de la tendencia actual. </w:t>
      </w:r>
    </w:p>
    <w:p w:rsidR="00642D79" w:rsidRPr="00866523" w:rsidRDefault="00F2612E" w:rsidP="00866523">
      <w:pPr>
        <w:pStyle w:val="clavestexto"/>
        <w:spacing w:before="120" w:after="120"/>
        <w:rPr>
          <w:rFonts w:ascii="Palatino Linotype" w:hAnsi="Palatino Linotype" w:cs="Tahoma"/>
          <w:color w:val="auto"/>
          <w:sz w:val="19"/>
          <w:szCs w:val="19"/>
        </w:rPr>
      </w:pPr>
      <w:r>
        <w:rPr>
          <w:rFonts w:ascii="Palatino Linotype" w:hAnsi="Palatino Linotype" w:cs="Tahoma"/>
          <w:color w:val="auto"/>
          <w:sz w:val="19"/>
          <w:szCs w:val="19"/>
        </w:rPr>
        <w:t xml:space="preserve">En </w:t>
      </w:r>
      <w:r w:rsidR="005762CA">
        <w:rPr>
          <w:rFonts w:ascii="Palatino Linotype" w:hAnsi="Palatino Linotype" w:cs="Tahoma"/>
          <w:color w:val="auto"/>
          <w:sz w:val="19"/>
          <w:szCs w:val="19"/>
        </w:rPr>
        <w:t xml:space="preserve">el frente local, en agosto el presidente Tabaré Vázquez arribó a un acuerdo con el PIT-CNT en las negociaciones por las pautas salariales, acordando </w:t>
      </w:r>
      <w:r w:rsidR="00F610F9">
        <w:rPr>
          <w:rFonts w:ascii="Palatino Linotype" w:hAnsi="Palatino Linotype" w:cs="Tahoma"/>
          <w:color w:val="auto"/>
          <w:sz w:val="19"/>
          <w:szCs w:val="19"/>
        </w:rPr>
        <w:t xml:space="preserve">modificar los lineamientos del Poder Ejecutivo de forma de que </w:t>
      </w:r>
      <w:r w:rsidR="000C236F">
        <w:rPr>
          <w:rFonts w:ascii="Palatino Linotype" w:hAnsi="Palatino Linotype" w:cs="Tahoma"/>
          <w:color w:val="auto"/>
          <w:sz w:val="19"/>
          <w:szCs w:val="19"/>
        </w:rPr>
        <w:t>las pautas para los convenios que reemplazaban acuerdos vencidos en 2015 se mantuvieran para los nuevos convenios</w:t>
      </w:r>
      <w:r w:rsidR="00F610F9">
        <w:rPr>
          <w:rFonts w:ascii="Palatino Linotype" w:hAnsi="Palatino Linotype" w:cs="Tahoma"/>
          <w:color w:val="auto"/>
          <w:sz w:val="19"/>
          <w:szCs w:val="19"/>
        </w:rPr>
        <w:t xml:space="preserve"> (</w:t>
      </w:r>
      <w:r w:rsidR="000C236F">
        <w:rPr>
          <w:rFonts w:ascii="Palatino Linotype" w:hAnsi="Palatino Linotype" w:cs="Tahoma"/>
          <w:color w:val="auto"/>
          <w:sz w:val="19"/>
          <w:szCs w:val="19"/>
        </w:rPr>
        <w:t>hasta esta decisión los lineamientos</w:t>
      </w:r>
      <w:r w:rsidR="00BA2B0D">
        <w:rPr>
          <w:rFonts w:ascii="Palatino Linotype" w:hAnsi="Palatino Linotype" w:cs="Tahoma"/>
          <w:color w:val="auto"/>
          <w:sz w:val="19"/>
          <w:szCs w:val="19"/>
        </w:rPr>
        <w:t xml:space="preserve"> para los nuevos convenios</w:t>
      </w:r>
      <w:r w:rsidR="000C236F">
        <w:rPr>
          <w:rFonts w:ascii="Palatino Linotype" w:hAnsi="Palatino Linotype" w:cs="Tahoma"/>
          <w:color w:val="auto"/>
          <w:sz w:val="19"/>
          <w:szCs w:val="19"/>
        </w:rPr>
        <w:t xml:space="preserve"> tomaban únicamente los últimos dos años de los aumentos</w:t>
      </w:r>
      <w:r w:rsidR="00BA2B0D">
        <w:rPr>
          <w:rFonts w:ascii="Palatino Linotype" w:hAnsi="Palatino Linotype" w:cs="Tahoma"/>
          <w:color w:val="auto"/>
          <w:sz w:val="19"/>
          <w:szCs w:val="19"/>
        </w:rPr>
        <w:t xml:space="preserve"> de</w:t>
      </w:r>
      <w:r w:rsidR="000C236F">
        <w:rPr>
          <w:rFonts w:ascii="Palatino Linotype" w:hAnsi="Palatino Linotype" w:cs="Tahoma"/>
          <w:color w:val="auto"/>
          <w:sz w:val="19"/>
          <w:szCs w:val="19"/>
        </w:rPr>
        <w:t xml:space="preserve"> </w:t>
      </w:r>
      <w:r w:rsidR="00BA2B0D">
        <w:rPr>
          <w:rFonts w:ascii="Palatino Linotype" w:hAnsi="Palatino Linotype" w:cs="Tahoma"/>
          <w:color w:val="auto"/>
          <w:sz w:val="19"/>
          <w:szCs w:val="19"/>
        </w:rPr>
        <w:t xml:space="preserve">los </w:t>
      </w:r>
      <w:r w:rsidR="000C236F">
        <w:rPr>
          <w:rFonts w:ascii="Palatino Linotype" w:hAnsi="Palatino Linotype" w:cs="Tahoma"/>
          <w:color w:val="auto"/>
          <w:sz w:val="19"/>
          <w:szCs w:val="19"/>
        </w:rPr>
        <w:t>anteriores, cuyos ajustes nominales eran inferiores).</w:t>
      </w:r>
      <w:r w:rsidR="00BA2B0D">
        <w:rPr>
          <w:rFonts w:ascii="Palatino Linotype" w:hAnsi="Palatino Linotype" w:cs="Tahoma"/>
          <w:color w:val="auto"/>
          <w:sz w:val="19"/>
          <w:szCs w:val="19"/>
        </w:rPr>
        <w:t xml:space="preserve"> Esto significará durante el primer año de los convenios un incremento de 1,5 pp. </w:t>
      </w:r>
      <w:proofErr w:type="gramStart"/>
      <w:r w:rsidR="00BA2B0D">
        <w:rPr>
          <w:rFonts w:ascii="Palatino Linotype" w:hAnsi="Palatino Linotype" w:cs="Tahoma"/>
          <w:color w:val="auto"/>
          <w:sz w:val="19"/>
          <w:szCs w:val="19"/>
        </w:rPr>
        <w:t>para</w:t>
      </w:r>
      <w:proofErr w:type="gramEnd"/>
      <w:r w:rsidR="00BA2B0D">
        <w:rPr>
          <w:rFonts w:ascii="Palatino Linotype" w:hAnsi="Palatino Linotype" w:cs="Tahoma"/>
          <w:color w:val="auto"/>
          <w:sz w:val="19"/>
          <w:szCs w:val="19"/>
        </w:rPr>
        <w:t xml:space="preserve"> los sectores en problemas y de 1 pp. </w:t>
      </w:r>
      <w:proofErr w:type="gramStart"/>
      <w:r w:rsidR="00BA2B0D">
        <w:rPr>
          <w:rFonts w:ascii="Palatino Linotype" w:hAnsi="Palatino Linotype" w:cs="Tahoma"/>
          <w:color w:val="auto"/>
          <w:sz w:val="19"/>
          <w:szCs w:val="19"/>
        </w:rPr>
        <w:t>para</w:t>
      </w:r>
      <w:proofErr w:type="gramEnd"/>
      <w:r w:rsidR="00BA2B0D">
        <w:rPr>
          <w:rFonts w:ascii="Palatino Linotype" w:hAnsi="Palatino Linotype" w:cs="Tahoma"/>
          <w:color w:val="auto"/>
          <w:sz w:val="19"/>
          <w:szCs w:val="19"/>
        </w:rPr>
        <w:t xml:space="preserve"> los sectores medios y dinámicos. Esta medida presionará al alza a la inflación a través del </w:t>
      </w:r>
      <w:proofErr w:type="spellStart"/>
      <w:r w:rsidR="00BA2B0D">
        <w:rPr>
          <w:rFonts w:ascii="Palatino Linotype" w:hAnsi="Palatino Linotype" w:cs="Tahoma"/>
          <w:i/>
          <w:color w:val="auto"/>
          <w:sz w:val="19"/>
          <w:szCs w:val="19"/>
        </w:rPr>
        <w:t>pass-through</w:t>
      </w:r>
      <w:proofErr w:type="spellEnd"/>
      <w:r w:rsidR="00BA2B0D">
        <w:rPr>
          <w:rFonts w:ascii="Palatino Linotype" w:hAnsi="Palatino Linotype" w:cs="Tahoma"/>
          <w:color w:val="auto"/>
          <w:sz w:val="19"/>
          <w:szCs w:val="19"/>
        </w:rPr>
        <w:t xml:space="preserve"> salarial,</w:t>
      </w:r>
      <w:r w:rsidR="00F139EB">
        <w:rPr>
          <w:rFonts w:ascii="Palatino Linotype" w:hAnsi="Palatino Linotype" w:cs="Tahoma"/>
          <w:color w:val="auto"/>
          <w:sz w:val="19"/>
          <w:szCs w:val="19"/>
        </w:rPr>
        <w:t xml:space="preserve"> aunque debe tenerse en cuenta que no alcanzará a los sectores cuyos convenios de la sexta ronda ya han sido firmados. Asimismo, se ha difundido recientemente que los actores vinculados al transporte colectivo montevideano se encuentran negociando una suba del boleto para setiembre, que podría llegar a ser de $2, determinado en gran medida por los aumentos de los costos salariales.</w:t>
      </w:r>
    </w:p>
    <w:bookmarkEnd w:id="0"/>
    <w:p w:rsidR="00C71E96" w:rsidRPr="00294755" w:rsidRDefault="00C71E96" w:rsidP="00074900">
      <w:pPr>
        <w:pStyle w:val="clavestexto"/>
        <w:spacing w:before="120" w:after="120"/>
        <w:rPr>
          <w:rFonts w:ascii="Palatino Linotype" w:hAnsi="Palatino Linotype" w:cs="Tahoma"/>
          <w:color w:val="auto"/>
          <w:sz w:val="19"/>
          <w:szCs w:val="19"/>
        </w:rPr>
        <w:sectPr w:rsidR="00C71E96" w:rsidRPr="00294755" w:rsidSect="00A53DAB">
          <w:headerReference w:type="default" r:id="rId16"/>
          <w:type w:val="continuous"/>
          <w:pgSz w:w="11905" w:h="16837" w:code="9"/>
          <w:pgMar w:top="822" w:right="565" w:bottom="618" w:left="1843" w:header="164" w:footer="278" w:gutter="0"/>
          <w:cols w:space="720"/>
          <w:docGrid w:linePitch="360"/>
        </w:sectPr>
      </w:pPr>
    </w:p>
    <w:p w:rsidR="008E560A" w:rsidRDefault="001D7369" w:rsidP="00A176CB">
      <w:pPr>
        <w:pStyle w:val="clavestexto"/>
        <w:spacing w:before="120" w:after="120"/>
        <w:rPr>
          <w:rFonts w:ascii="Palatino Linotype" w:hAnsi="Palatino Linotype" w:cs="Tahoma"/>
          <w:color w:val="auto"/>
          <w:sz w:val="19"/>
          <w:szCs w:val="19"/>
        </w:rPr>
      </w:pPr>
      <w:r>
        <w:rPr>
          <w:rFonts w:ascii="Palatino Linotype" w:hAnsi="Palatino Linotype" w:cs="Tahoma"/>
          <w:noProof/>
          <w:color w:val="auto"/>
          <w:sz w:val="19"/>
          <w:szCs w:val="19"/>
          <w:lang w:eastAsia="es-ES"/>
        </w:rPr>
        <w:lastRenderedPageBreak/>
        <w:drawing>
          <wp:anchor distT="0" distB="0" distL="114300" distR="114300" simplePos="0" relativeHeight="251653120" behindDoc="1" locked="0" layoutInCell="1" allowOverlap="1">
            <wp:simplePos x="0" y="0"/>
            <wp:positionH relativeFrom="column">
              <wp:posOffset>-1254760</wp:posOffset>
            </wp:positionH>
            <wp:positionV relativeFrom="paragraph">
              <wp:posOffset>-1331595</wp:posOffset>
            </wp:positionV>
            <wp:extent cx="797560" cy="7991475"/>
            <wp:effectExtent l="19050" t="0" r="2540" b="0"/>
            <wp:wrapNone/>
            <wp:docPr id="1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7" cstate="print"/>
                    <a:srcRect/>
                    <a:stretch>
                      <a:fillRect/>
                    </a:stretch>
                  </pic:blipFill>
                  <pic:spPr bwMode="auto">
                    <a:xfrm>
                      <a:off x="0" y="0"/>
                      <a:ext cx="797560" cy="7991475"/>
                    </a:xfrm>
                    <a:prstGeom prst="rect">
                      <a:avLst/>
                    </a:prstGeom>
                    <a:noFill/>
                    <a:ln w="9525">
                      <a:noFill/>
                      <a:miter lim="800000"/>
                      <a:headEnd/>
                      <a:tailEnd/>
                    </a:ln>
                  </pic:spPr>
                </pic:pic>
              </a:graphicData>
            </a:graphic>
          </wp:anchor>
        </w:drawing>
      </w:r>
    </w:p>
    <w:p w:rsidR="006F3493" w:rsidRPr="006F3493" w:rsidRDefault="006F3493" w:rsidP="006F3493">
      <w:pPr>
        <w:tabs>
          <w:tab w:val="right" w:pos="9424"/>
        </w:tabs>
        <w:spacing w:after="60"/>
        <w:ind w:right="23"/>
        <w:jc w:val="center"/>
        <w:rPr>
          <w:rFonts w:ascii="Palatino Linotype" w:hAnsi="Palatino Linotype"/>
          <w:b/>
          <w:noProof/>
          <w:color w:val="943634" w:themeColor="accent2" w:themeShade="BF"/>
          <w:sz w:val="22"/>
          <w:lang w:eastAsia="es-ES"/>
        </w:rPr>
      </w:pPr>
      <w:r w:rsidRPr="006F3493">
        <w:rPr>
          <w:rFonts w:ascii="Palatino Linotype" w:hAnsi="Palatino Linotype"/>
          <w:b/>
          <w:noProof/>
          <w:color w:val="943634" w:themeColor="accent2" w:themeShade="BF"/>
          <w:sz w:val="22"/>
          <w:lang w:eastAsia="es-ES"/>
        </w:rPr>
        <w:drawing>
          <wp:anchor distT="0" distB="0" distL="114935" distR="114935" simplePos="0" relativeHeight="251657216" behindDoc="0" locked="0" layoutInCell="1" allowOverlap="1">
            <wp:simplePos x="0" y="0"/>
            <wp:positionH relativeFrom="page">
              <wp:posOffset>-9428480</wp:posOffset>
            </wp:positionH>
            <wp:positionV relativeFrom="page">
              <wp:posOffset>5565140</wp:posOffset>
            </wp:positionV>
            <wp:extent cx="897255" cy="10689590"/>
            <wp:effectExtent l="19050" t="0" r="0" b="0"/>
            <wp:wrapNone/>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cstate="print"/>
                    <a:srcRect l="30222" r="57904"/>
                    <a:stretch>
                      <a:fillRect/>
                    </a:stretch>
                  </pic:blipFill>
                  <pic:spPr bwMode="auto">
                    <a:xfrm>
                      <a:off x="0" y="0"/>
                      <a:ext cx="897255" cy="10689590"/>
                    </a:xfrm>
                    <a:prstGeom prst="rect">
                      <a:avLst/>
                    </a:prstGeom>
                    <a:solidFill>
                      <a:srgbClr val="FFFFFF"/>
                    </a:solidFill>
                    <a:ln w="9525">
                      <a:noFill/>
                      <a:miter lim="800000"/>
                      <a:headEnd/>
                      <a:tailEnd/>
                    </a:ln>
                  </pic:spPr>
                </pic:pic>
              </a:graphicData>
            </a:graphic>
          </wp:anchor>
        </w:drawing>
      </w:r>
      <w:r w:rsidRPr="006F3493">
        <w:rPr>
          <w:rFonts w:ascii="Palatino Linotype" w:hAnsi="Palatino Linotype"/>
          <w:b/>
          <w:noProof/>
          <w:color w:val="943634" w:themeColor="accent2" w:themeShade="BF"/>
          <w:sz w:val="22"/>
          <w:lang w:eastAsia="es-ES"/>
        </w:rPr>
        <w:t>RESUMEN DE</w:t>
      </w:r>
      <w:r>
        <w:rPr>
          <w:rFonts w:ascii="Palatino Linotype" w:hAnsi="Palatino Linotype"/>
          <w:b/>
          <w:noProof/>
          <w:color w:val="943634" w:themeColor="accent2" w:themeShade="BF"/>
          <w:sz w:val="22"/>
          <w:lang w:eastAsia="es-ES"/>
        </w:rPr>
        <w:t xml:space="preserve"> LAS</w:t>
      </w:r>
      <w:r w:rsidRPr="006F3493">
        <w:rPr>
          <w:rFonts w:ascii="Palatino Linotype" w:hAnsi="Palatino Linotype"/>
          <w:b/>
          <w:noProof/>
          <w:color w:val="943634" w:themeColor="accent2" w:themeShade="BF"/>
          <w:sz w:val="22"/>
          <w:lang w:eastAsia="es-ES"/>
        </w:rPr>
        <w:t xml:space="preserve"> PROYECCIONES</w:t>
      </w:r>
    </w:p>
    <w:p w:rsidR="000E1727" w:rsidRPr="00FB5ABA" w:rsidRDefault="000E1727" w:rsidP="00225FF4">
      <w:pPr>
        <w:spacing w:before="120" w:after="120"/>
        <w:jc w:val="both"/>
      </w:pPr>
    </w:p>
    <w:tbl>
      <w:tblPr>
        <w:tblpPr w:leftFromText="141" w:rightFromText="141" w:vertAnchor="page" w:horzAnchor="margin" w:tblpY="3037"/>
        <w:tblW w:w="0" w:type="auto"/>
        <w:tblLayout w:type="fixed"/>
        <w:tblCellMar>
          <w:top w:w="55" w:type="dxa"/>
          <w:left w:w="55" w:type="dxa"/>
          <w:bottom w:w="55" w:type="dxa"/>
          <w:right w:w="55" w:type="dxa"/>
        </w:tblCellMar>
        <w:tblLook w:val="0000"/>
      </w:tblPr>
      <w:tblGrid>
        <w:gridCol w:w="5767"/>
        <w:gridCol w:w="2935"/>
        <w:gridCol w:w="2693"/>
        <w:gridCol w:w="2755"/>
      </w:tblGrid>
      <w:tr w:rsidR="00BB13FD" w:rsidTr="007050AC">
        <w:tc>
          <w:tcPr>
            <w:tcW w:w="14150" w:type="dxa"/>
            <w:gridSpan w:val="4"/>
            <w:tcBorders>
              <w:top w:val="single" w:sz="4" w:space="0" w:color="auto"/>
              <w:left w:val="single" w:sz="4" w:space="0" w:color="auto"/>
              <w:right w:val="single" w:sz="4" w:space="0" w:color="auto"/>
            </w:tcBorders>
            <w:vAlign w:val="center"/>
          </w:tcPr>
          <w:p w:rsidR="00D714D7" w:rsidRPr="00AE10EA" w:rsidRDefault="00D714D7" w:rsidP="00D714D7">
            <w:pPr>
              <w:pStyle w:val="Textonotapie"/>
              <w:snapToGrid w:val="0"/>
              <w:ind w:left="709" w:right="148" w:firstLine="0"/>
              <w:jc w:val="right"/>
              <w:rPr>
                <w:b/>
                <w:bCs/>
                <w:iCs/>
                <w:color w:val="99284C"/>
                <w:sz w:val="16"/>
                <w:szCs w:val="16"/>
                <w:lang w:val="es-UY"/>
              </w:rPr>
            </w:pPr>
            <w:r w:rsidRPr="00AE10EA">
              <w:rPr>
                <w:b/>
                <w:bCs/>
                <w:iCs/>
                <w:color w:val="99284C"/>
                <w:sz w:val="16"/>
                <w:szCs w:val="16"/>
                <w:lang w:val="es-UY"/>
              </w:rPr>
              <w:t xml:space="preserve">Cuadro Estadístico </w:t>
            </w:r>
            <w:r w:rsidRPr="00AE10EA">
              <w:rPr>
                <w:rFonts w:ascii="Palatino Linotype" w:hAnsi="Palatino Linotype"/>
                <w:b/>
                <w:bCs/>
                <w:iCs/>
                <w:color w:val="99284C"/>
                <w:sz w:val="16"/>
                <w:szCs w:val="16"/>
                <w:lang w:val="es-UY"/>
              </w:rPr>
              <w:t>1</w:t>
            </w:r>
            <w:r w:rsidRPr="00AE10EA">
              <w:rPr>
                <w:b/>
                <w:bCs/>
                <w:iCs/>
                <w:color w:val="99284C"/>
                <w:sz w:val="16"/>
                <w:szCs w:val="16"/>
                <w:lang w:val="es-UY"/>
              </w:rPr>
              <w:t>.</w:t>
            </w:r>
          </w:p>
        </w:tc>
      </w:tr>
      <w:tr w:rsidR="00D714D7" w:rsidTr="007050AC">
        <w:trPr>
          <w:trHeight w:val="664"/>
        </w:trPr>
        <w:tc>
          <w:tcPr>
            <w:tcW w:w="14150"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rsidR="00D714D7" w:rsidRPr="00AE10EA" w:rsidRDefault="00D714D7" w:rsidP="003D6F25">
            <w:pPr>
              <w:pStyle w:val="Textonotapie"/>
              <w:keepNext/>
              <w:keepLines/>
              <w:snapToGrid w:val="0"/>
              <w:ind w:left="709" w:firstLine="0"/>
              <w:jc w:val="center"/>
              <w:rPr>
                <w:rFonts w:ascii="Palatino Linotype" w:hAnsi="Palatino Linotype" w:cs="Tahoma"/>
                <w:b/>
                <w:bCs/>
                <w:color w:val="000000"/>
                <w:sz w:val="18"/>
                <w:szCs w:val="18"/>
                <w:lang w:val="es-UY"/>
              </w:rPr>
            </w:pPr>
            <w:r w:rsidRPr="00AE10EA">
              <w:rPr>
                <w:rFonts w:ascii="Palatino Linotype" w:hAnsi="Palatino Linotype" w:cs="Tahoma"/>
                <w:b/>
                <w:bCs/>
                <w:color w:val="000000"/>
                <w:sz w:val="18"/>
                <w:szCs w:val="18"/>
                <w:lang w:val="es-UY"/>
              </w:rPr>
              <w:t>Valores observados y predicci</w:t>
            </w:r>
            <w:r w:rsidR="00D534B5" w:rsidRPr="00AE10EA">
              <w:rPr>
                <w:rFonts w:ascii="Palatino Linotype" w:hAnsi="Palatino Linotype" w:cs="Tahoma"/>
                <w:b/>
                <w:bCs/>
                <w:color w:val="000000"/>
                <w:sz w:val="18"/>
                <w:szCs w:val="18"/>
                <w:lang w:val="es-UY"/>
              </w:rPr>
              <w:t>ones</w:t>
            </w:r>
            <w:r w:rsidR="00C52976" w:rsidRPr="00AE10EA">
              <w:rPr>
                <w:rFonts w:ascii="Palatino Linotype" w:hAnsi="Palatino Linotype" w:cs="Tahoma"/>
                <w:b/>
                <w:bCs/>
                <w:color w:val="000000"/>
                <w:sz w:val="18"/>
                <w:szCs w:val="18"/>
                <w:lang w:val="es-UY"/>
              </w:rPr>
              <w:t xml:space="preserve"> de los precios al consumo.</w:t>
            </w:r>
            <w:r w:rsidR="003D6F25">
              <w:rPr>
                <w:rFonts w:ascii="Palatino Linotype" w:hAnsi="Palatino Linotype" w:cs="Tahoma"/>
                <w:b/>
                <w:bCs/>
                <w:color w:val="000000"/>
                <w:sz w:val="18"/>
                <w:szCs w:val="18"/>
                <w:lang w:val="es-UY"/>
              </w:rPr>
              <w:t xml:space="preserve"> </w:t>
            </w:r>
            <w:r w:rsidR="00945F00">
              <w:rPr>
                <w:rFonts w:ascii="Palatino Linotype" w:hAnsi="Palatino Linotype" w:cs="Tahoma"/>
                <w:b/>
                <w:bCs/>
                <w:color w:val="000000"/>
                <w:sz w:val="18"/>
                <w:szCs w:val="18"/>
                <w:lang w:val="es-UY"/>
              </w:rPr>
              <w:t>Julio</w:t>
            </w:r>
            <w:r w:rsidR="00296C23" w:rsidRPr="00AE10EA">
              <w:rPr>
                <w:rFonts w:ascii="Palatino Linotype" w:hAnsi="Palatino Linotype" w:cs="Tahoma"/>
                <w:b/>
                <w:bCs/>
                <w:color w:val="000000"/>
                <w:sz w:val="18"/>
                <w:szCs w:val="18"/>
                <w:lang w:val="es-UY"/>
              </w:rPr>
              <w:t xml:space="preserve"> de 2016</w:t>
            </w:r>
          </w:p>
        </w:tc>
      </w:tr>
      <w:tr w:rsidR="00BB13FD" w:rsidTr="002E1756">
        <w:trPr>
          <w:trHeight w:val="317"/>
        </w:trPr>
        <w:tc>
          <w:tcPr>
            <w:tcW w:w="5767" w:type="dxa"/>
            <w:tcBorders>
              <w:top w:val="single" w:sz="4" w:space="0" w:color="auto"/>
              <w:left w:val="single" w:sz="4" w:space="0" w:color="auto"/>
              <w:bottom w:val="single" w:sz="4" w:space="0" w:color="auto"/>
            </w:tcBorders>
            <w:vAlign w:val="bottom"/>
          </w:tcPr>
          <w:p w:rsidR="00D714D7" w:rsidRPr="00AE10EA" w:rsidRDefault="00D714D7" w:rsidP="00D714D7">
            <w:pPr>
              <w:pStyle w:val="Piedecuadro"/>
              <w:keepNext/>
              <w:keepLines/>
              <w:snapToGrid w:val="0"/>
              <w:spacing w:line="240" w:lineRule="auto"/>
              <w:jc w:val="center"/>
              <w:rPr>
                <w:rFonts w:ascii="Palatino Linotype" w:hAnsi="Palatino Linotype"/>
                <w:b/>
                <w:bCs/>
                <w:sz w:val="16"/>
                <w:szCs w:val="14"/>
              </w:rPr>
            </w:pPr>
            <w:r w:rsidRPr="00AE10EA">
              <w:rPr>
                <w:rFonts w:ascii="Palatino Linotype" w:hAnsi="Palatino Linotype"/>
                <w:b/>
                <w:bCs/>
                <w:sz w:val="16"/>
                <w:szCs w:val="14"/>
              </w:rPr>
              <w:t>Índices de Precios al Consumo</w:t>
            </w:r>
          </w:p>
        </w:tc>
        <w:tc>
          <w:tcPr>
            <w:tcW w:w="2935" w:type="dxa"/>
            <w:tcBorders>
              <w:top w:val="single" w:sz="4" w:space="0" w:color="auto"/>
              <w:bottom w:val="single" w:sz="4" w:space="0" w:color="auto"/>
            </w:tcBorders>
            <w:vAlign w:val="bottom"/>
          </w:tcPr>
          <w:p w:rsidR="00D714D7" w:rsidRPr="00AE10EA" w:rsidRDefault="00D714D7" w:rsidP="00D714D7">
            <w:pPr>
              <w:snapToGrid w:val="0"/>
              <w:jc w:val="center"/>
              <w:rPr>
                <w:rFonts w:ascii="Palatino Linotype" w:hAnsi="Palatino Linotype"/>
                <w:b/>
                <w:color w:val="000000"/>
                <w:sz w:val="16"/>
                <w:szCs w:val="14"/>
                <w:lang w:val="es-UY"/>
              </w:rPr>
            </w:pPr>
            <w:r w:rsidRPr="00AE10EA">
              <w:rPr>
                <w:rFonts w:ascii="Palatino Linotype" w:hAnsi="Palatino Linotype"/>
                <w:b/>
                <w:color w:val="000000"/>
                <w:sz w:val="16"/>
                <w:szCs w:val="14"/>
                <w:lang w:val="es-UY"/>
              </w:rPr>
              <w:t>Crecimiento Observado (%)</w:t>
            </w:r>
          </w:p>
        </w:tc>
        <w:tc>
          <w:tcPr>
            <w:tcW w:w="2693" w:type="dxa"/>
            <w:tcBorders>
              <w:top w:val="single" w:sz="4" w:space="0" w:color="auto"/>
              <w:bottom w:val="single" w:sz="4" w:space="0" w:color="auto"/>
            </w:tcBorders>
            <w:vAlign w:val="bottom"/>
          </w:tcPr>
          <w:p w:rsidR="00D714D7" w:rsidRPr="00AE10EA" w:rsidRDefault="00D714D7" w:rsidP="00D714D7">
            <w:pPr>
              <w:snapToGrid w:val="0"/>
              <w:jc w:val="center"/>
              <w:rPr>
                <w:rFonts w:ascii="Palatino Linotype" w:hAnsi="Palatino Linotype"/>
                <w:b/>
                <w:color w:val="000000"/>
                <w:sz w:val="16"/>
                <w:szCs w:val="14"/>
                <w:lang w:val="es-UY"/>
              </w:rPr>
            </w:pPr>
            <w:r w:rsidRPr="00AE10EA">
              <w:rPr>
                <w:rFonts w:ascii="Palatino Linotype" w:hAnsi="Palatino Linotype"/>
                <w:b/>
                <w:color w:val="000000"/>
                <w:sz w:val="16"/>
                <w:szCs w:val="14"/>
                <w:lang w:val="es-UY"/>
              </w:rPr>
              <w:t>Predicción (%)</w:t>
            </w:r>
          </w:p>
        </w:tc>
        <w:tc>
          <w:tcPr>
            <w:tcW w:w="2755" w:type="dxa"/>
            <w:tcBorders>
              <w:top w:val="single" w:sz="4" w:space="0" w:color="auto"/>
              <w:bottom w:val="single" w:sz="4" w:space="0" w:color="auto"/>
              <w:right w:val="single" w:sz="4" w:space="0" w:color="auto"/>
            </w:tcBorders>
            <w:vAlign w:val="bottom"/>
          </w:tcPr>
          <w:p w:rsidR="00D714D7" w:rsidRPr="00AE10EA" w:rsidRDefault="00D714D7" w:rsidP="00D714D7">
            <w:pPr>
              <w:snapToGrid w:val="0"/>
              <w:jc w:val="center"/>
              <w:rPr>
                <w:rFonts w:ascii="Palatino Linotype" w:hAnsi="Palatino Linotype"/>
                <w:b/>
                <w:color w:val="000000"/>
                <w:sz w:val="16"/>
                <w:szCs w:val="14"/>
                <w:lang w:val="es-UY"/>
              </w:rPr>
            </w:pPr>
            <w:r w:rsidRPr="00AE10EA">
              <w:rPr>
                <w:rFonts w:ascii="Palatino Linotype" w:hAnsi="Palatino Linotype"/>
                <w:b/>
                <w:color w:val="000000"/>
                <w:sz w:val="16"/>
                <w:szCs w:val="14"/>
                <w:lang w:val="es-UY"/>
              </w:rPr>
              <w:t>Intervalos de predicción (*)</w:t>
            </w:r>
          </w:p>
        </w:tc>
      </w:tr>
      <w:tr w:rsidR="00584908" w:rsidTr="00C97412">
        <w:tc>
          <w:tcPr>
            <w:tcW w:w="5767" w:type="dxa"/>
            <w:tcBorders>
              <w:top w:val="single" w:sz="4" w:space="0" w:color="auto"/>
              <w:left w:val="single" w:sz="4" w:space="0" w:color="auto"/>
            </w:tcBorders>
            <w:vAlign w:val="bottom"/>
          </w:tcPr>
          <w:p w:rsidR="00584908" w:rsidRPr="00AE10EA" w:rsidRDefault="00584908" w:rsidP="00BF68DC">
            <w:pPr>
              <w:pStyle w:val="Textonotapie"/>
              <w:snapToGrid w:val="0"/>
              <w:rPr>
                <w:rFonts w:ascii="Palatino Linotype" w:hAnsi="Palatino Linotype"/>
                <w:sz w:val="14"/>
                <w:szCs w:val="14"/>
              </w:rPr>
            </w:pPr>
            <w:r w:rsidRPr="00AE10EA">
              <w:rPr>
                <w:rFonts w:ascii="Palatino Linotype" w:hAnsi="Palatino Linotype"/>
                <w:sz w:val="14"/>
                <w:szCs w:val="14"/>
              </w:rPr>
              <w:t>(1) BENE (36,38%)</w:t>
            </w:r>
          </w:p>
        </w:tc>
        <w:tc>
          <w:tcPr>
            <w:tcW w:w="2935" w:type="dxa"/>
            <w:tcBorders>
              <w:top w:val="single" w:sz="4" w:space="0" w:color="auto"/>
            </w:tcBorders>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0.21</w:t>
            </w:r>
          </w:p>
        </w:tc>
        <w:tc>
          <w:tcPr>
            <w:tcW w:w="2693" w:type="dxa"/>
            <w:tcBorders>
              <w:top w:val="single" w:sz="4" w:space="0" w:color="auto"/>
            </w:tcBorders>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0.22</w:t>
            </w:r>
          </w:p>
        </w:tc>
        <w:tc>
          <w:tcPr>
            <w:tcW w:w="2755" w:type="dxa"/>
            <w:tcBorders>
              <w:top w:val="single" w:sz="4" w:space="0" w:color="auto"/>
              <w:right w:val="single" w:sz="4" w:space="0" w:color="auto"/>
            </w:tcBorders>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0.9%</w:t>
            </w:r>
          </w:p>
        </w:tc>
      </w:tr>
      <w:tr w:rsidR="00584908" w:rsidTr="00C97412">
        <w:tc>
          <w:tcPr>
            <w:tcW w:w="5767" w:type="dxa"/>
            <w:tcBorders>
              <w:left w:val="single" w:sz="4" w:space="0" w:color="auto"/>
            </w:tcBorders>
            <w:vAlign w:val="bottom"/>
          </w:tcPr>
          <w:p w:rsidR="00584908" w:rsidRPr="00AE10EA" w:rsidRDefault="00584908" w:rsidP="00BF68DC">
            <w:pPr>
              <w:pStyle w:val="Textonotapie"/>
              <w:snapToGrid w:val="0"/>
              <w:rPr>
                <w:rFonts w:ascii="Palatino Linotype" w:hAnsi="Palatino Linotype"/>
                <w:sz w:val="14"/>
                <w:szCs w:val="14"/>
              </w:rPr>
            </w:pPr>
            <w:r w:rsidRPr="00AE10EA">
              <w:rPr>
                <w:rFonts w:ascii="Palatino Linotype" w:hAnsi="Palatino Linotype"/>
                <w:sz w:val="14"/>
                <w:szCs w:val="14"/>
              </w:rPr>
              <w:t xml:space="preserve">(2) </w:t>
            </w:r>
            <w:proofErr w:type="spellStart"/>
            <w:r w:rsidRPr="00AE10EA">
              <w:rPr>
                <w:rFonts w:ascii="Palatino Linotype" w:hAnsi="Palatino Linotype"/>
                <w:sz w:val="14"/>
                <w:szCs w:val="14"/>
              </w:rPr>
              <w:t>SERVnoA</w:t>
            </w:r>
            <w:proofErr w:type="spellEnd"/>
            <w:r w:rsidRPr="00AE10EA">
              <w:rPr>
                <w:rFonts w:ascii="Palatino Linotype" w:hAnsi="Palatino Linotype"/>
                <w:sz w:val="14"/>
                <w:szCs w:val="14"/>
              </w:rPr>
              <w:t xml:space="preserve"> (30,34%)</w:t>
            </w:r>
          </w:p>
        </w:tc>
        <w:tc>
          <w:tcPr>
            <w:tcW w:w="2935" w:type="dxa"/>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0.67</w:t>
            </w:r>
          </w:p>
        </w:tc>
        <w:tc>
          <w:tcPr>
            <w:tcW w:w="2693" w:type="dxa"/>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0.66</w:t>
            </w:r>
          </w:p>
        </w:tc>
        <w:tc>
          <w:tcPr>
            <w:tcW w:w="2755" w:type="dxa"/>
            <w:tcBorders>
              <w:right w:val="single" w:sz="4" w:space="0" w:color="auto"/>
            </w:tcBorders>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0.9%</w:t>
            </w:r>
          </w:p>
        </w:tc>
      </w:tr>
      <w:tr w:rsidR="00584908" w:rsidTr="00C97412">
        <w:tc>
          <w:tcPr>
            <w:tcW w:w="5767" w:type="dxa"/>
            <w:tcBorders>
              <w:left w:val="single" w:sz="4" w:space="0" w:color="auto"/>
            </w:tcBorders>
            <w:vAlign w:val="bottom"/>
          </w:tcPr>
          <w:p w:rsidR="00584908" w:rsidRPr="00AE10EA" w:rsidRDefault="00584908" w:rsidP="00BF68DC">
            <w:pPr>
              <w:snapToGrid w:val="0"/>
              <w:rPr>
                <w:rFonts w:ascii="Palatino Linotype" w:hAnsi="Palatino Linotype"/>
                <w:sz w:val="14"/>
                <w:szCs w:val="14"/>
              </w:rPr>
            </w:pPr>
            <w:r w:rsidRPr="00AE10EA">
              <w:rPr>
                <w:rFonts w:ascii="Palatino Linotype" w:hAnsi="Palatino Linotype"/>
                <w:sz w:val="14"/>
                <w:szCs w:val="14"/>
              </w:rPr>
              <w:t xml:space="preserve">(3) </w:t>
            </w:r>
            <w:proofErr w:type="spellStart"/>
            <w:r w:rsidRPr="00AE10EA">
              <w:rPr>
                <w:rFonts w:ascii="Palatino Linotype" w:hAnsi="Palatino Linotype"/>
                <w:sz w:val="14"/>
                <w:szCs w:val="14"/>
              </w:rPr>
              <w:t>SERVAdm</w:t>
            </w:r>
            <w:proofErr w:type="spellEnd"/>
            <w:r w:rsidRPr="00AE10EA">
              <w:rPr>
                <w:rFonts w:ascii="Palatino Linotype" w:hAnsi="Palatino Linotype"/>
                <w:sz w:val="14"/>
                <w:szCs w:val="14"/>
              </w:rPr>
              <w:t xml:space="preserve"> (8,55%)</w:t>
            </w:r>
          </w:p>
        </w:tc>
        <w:tc>
          <w:tcPr>
            <w:tcW w:w="2935" w:type="dxa"/>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0.83</w:t>
            </w:r>
          </w:p>
        </w:tc>
        <w:tc>
          <w:tcPr>
            <w:tcW w:w="2693" w:type="dxa"/>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2.00</w:t>
            </w:r>
          </w:p>
        </w:tc>
        <w:tc>
          <w:tcPr>
            <w:tcW w:w="2755" w:type="dxa"/>
            <w:tcBorders>
              <w:right w:val="single" w:sz="4" w:space="0" w:color="auto"/>
            </w:tcBorders>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 </w:t>
            </w:r>
          </w:p>
        </w:tc>
      </w:tr>
      <w:tr w:rsidR="00584908" w:rsidTr="00C97412">
        <w:tc>
          <w:tcPr>
            <w:tcW w:w="5767" w:type="dxa"/>
            <w:tcBorders>
              <w:left w:val="single" w:sz="4" w:space="0" w:color="auto"/>
            </w:tcBorders>
            <w:shd w:val="clear" w:color="auto" w:fill="D9D9D9"/>
            <w:vAlign w:val="bottom"/>
          </w:tcPr>
          <w:p w:rsidR="00584908" w:rsidRPr="00AE10EA" w:rsidRDefault="00584908" w:rsidP="00BF68DC">
            <w:pPr>
              <w:snapToGrid w:val="0"/>
              <w:rPr>
                <w:rFonts w:ascii="Palatino Linotype" w:hAnsi="Palatino Linotype"/>
                <w:sz w:val="14"/>
                <w:szCs w:val="14"/>
              </w:rPr>
            </w:pPr>
            <w:r w:rsidRPr="00AE10EA">
              <w:rPr>
                <w:rFonts w:ascii="Palatino Linotype" w:hAnsi="Palatino Linotype"/>
                <w:sz w:val="14"/>
                <w:szCs w:val="14"/>
              </w:rPr>
              <w:t>INFLACIÓN TENDENCIAL (1+2+3) (75,27%)</w:t>
            </w:r>
          </w:p>
        </w:tc>
        <w:tc>
          <w:tcPr>
            <w:tcW w:w="2935" w:type="dxa"/>
            <w:shd w:val="clear" w:color="auto" w:fill="D9D9D9"/>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0.48</w:t>
            </w:r>
          </w:p>
        </w:tc>
        <w:tc>
          <w:tcPr>
            <w:tcW w:w="2693" w:type="dxa"/>
            <w:shd w:val="clear" w:color="auto" w:fill="D9D9D9"/>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0.60</w:t>
            </w:r>
          </w:p>
        </w:tc>
        <w:tc>
          <w:tcPr>
            <w:tcW w:w="2755" w:type="dxa"/>
            <w:tcBorders>
              <w:right w:val="single" w:sz="4" w:space="0" w:color="auto"/>
            </w:tcBorders>
            <w:shd w:val="clear" w:color="auto" w:fill="D9D9D9"/>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 </w:t>
            </w:r>
          </w:p>
        </w:tc>
      </w:tr>
      <w:tr w:rsidR="00584908" w:rsidTr="00C97412">
        <w:tc>
          <w:tcPr>
            <w:tcW w:w="5767" w:type="dxa"/>
            <w:tcBorders>
              <w:left w:val="single" w:sz="4" w:space="0" w:color="auto"/>
            </w:tcBorders>
            <w:vAlign w:val="bottom"/>
          </w:tcPr>
          <w:p w:rsidR="00584908" w:rsidRPr="00AE10EA" w:rsidRDefault="00584908" w:rsidP="00BF68DC">
            <w:pPr>
              <w:snapToGrid w:val="0"/>
              <w:rPr>
                <w:rFonts w:ascii="Palatino Linotype" w:hAnsi="Palatino Linotype"/>
                <w:sz w:val="14"/>
                <w:szCs w:val="14"/>
              </w:rPr>
            </w:pPr>
            <w:r w:rsidRPr="00AE10EA">
              <w:rPr>
                <w:rFonts w:ascii="Palatino Linotype" w:hAnsi="Palatino Linotype"/>
                <w:sz w:val="14"/>
                <w:szCs w:val="14"/>
              </w:rPr>
              <w:t>(4) ANE (12,12%)</w:t>
            </w:r>
          </w:p>
        </w:tc>
        <w:tc>
          <w:tcPr>
            <w:tcW w:w="2935" w:type="dxa"/>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0.17</w:t>
            </w:r>
          </w:p>
        </w:tc>
        <w:tc>
          <w:tcPr>
            <w:tcW w:w="2693" w:type="dxa"/>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-2.07</w:t>
            </w:r>
          </w:p>
        </w:tc>
        <w:tc>
          <w:tcPr>
            <w:tcW w:w="2755" w:type="dxa"/>
            <w:tcBorders>
              <w:right w:val="single" w:sz="4" w:space="0" w:color="auto"/>
            </w:tcBorders>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3.3%</w:t>
            </w:r>
          </w:p>
        </w:tc>
      </w:tr>
      <w:tr w:rsidR="00584908" w:rsidTr="00C97412">
        <w:tc>
          <w:tcPr>
            <w:tcW w:w="5767" w:type="dxa"/>
            <w:tcBorders>
              <w:left w:val="single" w:sz="4" w:space="0" w:color="auto"/>
            </w:tcBorders>
            <w:vAlign w:val="bottom"/>
          </w:tcPr>
          <w:p w:rsidR="00584908" w:rsidRPr="00AE10EA" w:rsidRDefault="00584908" w:rsidP="00BF68DC">
            <w:pPr>
              <w:snapToGrid w:val="0"/>
              <w:rPr>
                <w:rFonts w:ascii="Palatino Linotype" w:hAnsi="Palatino Linotype"/>
                <w:sz w:val="14"/>
                <w:szCs w:val="14"/>
              </w:rPr>
            </w:pPr>
            <w:r w:rsidRPr="00AE10EA">
              <w:rPr>
                <w:rFonts w:ascii="Palatino Linotype" w:hAnsi="Palatino Linotype"/>
                <w:sz w:val="14"/>
                <w:szCs w:val="14"/>
              </w:rPr>
              <w:t>(5) ENE (8,33%)</w:t>
            </w:r>
          </w:p>
        </w:tc>
        <w:tc>
          <w:tcPr>
            <w:tcW w:w="2935" w:type="dxa"/>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0.12</w:t>
            </w:r>
          </w:p>
        </w:tc>
        <w:tc>
          <w:tcPr>
            <w:tcW w:w="2693" w:type="dxa"/>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0.00</w:t>
            </w:r>
          </w:p>
        </w:tc>
        <w:tc>
          <w:tcPr>
            <w:tcW w:w="2755" w:type="dxa"/>
            <w:tcBorders>
              <w:right w:val="single" w:sz="4" w:space="0" w:color="auto"/>
            </w:tcBorders>
            <w:vAlign w:val="bottom"/>
          </w:tcPr>
          <w:p w:rsidR="00584908" w:rsidRPr="00584908" w:rsidRDefault="00584908" w:rsidP="00584908">
            <w:pPr>
              <w:snapToGrid w:val="0"/>
              <w:ind w:left="24" w:right="8"/>
              <w:jc w:val="center"/>
              <w:rPr>
                <w:rFonts w:ascii="Palatino Linotype" w:hAnsi="Palatino Linotype"/>
                <w:i/>
                <w:sz w:val="14"/>
                <w:szCs w:val="14"/>
                <w:lang w:val="en-GB"/>
              </w:rPr>
            </w:pPr>
            <w:proofErr w:type="spellStart"/>
            <w:r w:rsidRPr="00584908">
              <w:rPr>
                <w:rFonts w:ascii="Palatino Linotype" w:hAnsi="Palatino Linotype"/>
                <w:i/>
                <w:sz w:val="14"/>
                <w:szCs w:val="14"/>
                <w:lang w:val="en-GB"/>
              </w:rPr>
              <w:t>n.c</w:t>
            </w:r>
            <w:proofErr w:type="spellEnd"/>
            <w:r w:rsidRPr="00584908">
              <w:rPr>
                <w:rFonts w:ascii="Palatino Linotype" w:hAnsi="Palatino Linotype"/>
                <w:i/>
                <w:sz w:val="14"/>
                <w:szCs w:val="14"/>
                <w:lang w:val="en-GB"/>
              </w:rPr>
              <w:t>.</w:t>
            </w:r>
          </w:p>
        </w:tc>
      </w:tr>
      <w:tr w:rsidR="00584908" w:rsidTr="00C97412">
        <w:tc>
          <w:tcPr>
            <w:tcW w:w="5767" w:type="dxa"/>
            <w:tcBorders>
              <w:left w:val="single" w:sz="4" w:space="0" w:color="auto"/>
            </w:tcBorders>
            <w:vAlign w:val="bottom"/>
          </w:tcPr>
          <w:p w:rsidR="00584908" w:rsidRPr="00AE10EA" w:rsidRDefault="00584908" w:rsidP="00BF68DC">
            <w:pPr>
              <w:snapToGrid w:val="0"/>
              <w:rPr>
                <w:rFonts w:ascii="Palatino Linotype" w:hAnsi="Palatino Linotype"/>
                <w:sz w:val="14"/>
                <w:szCs w:val="14"/>
              </w:rPr>
            </w:pPr>
            <w:r w:rsidRPr="00AE10EA">
              <w:rPr>
                <w:rFonts w:ascii="Palatino Linotype" w:hAnsi="Palatino Linotype"/>
                <w:sz w:val="14"/>
                <w:szCs w:val="14"/>
              </w:rPr>
              <w:t xml:space="preserve">(6) </w:t>
            </w:r>
            <w:proofErr w:type="spellStart"/>
            <w:r w:rsidRPr="00AE10EA">
              <w:rPr>
                <w:rFonts w:ascii="Palatino Linotype" w:hAnsi="Palatino Linotype"/>
                <w:sz w:val="14"/>
                <w:szCs w:val="14"/>
              </w:rPr>
              <w:t>SERVPub</w:t>
            </w:r>
            <w:proofErr w:type="spellEnd"/>
            <w:r w:rsidRPr="00AE10EA">
              <w:rPr>
                <w:rFonts w:ascii="Palatino Linotype" w:hAnsi="Palatino Linotype"/>
                <w:sz w:val="14"/>
                <w:szCs w:val="14"/>
              </w:rPr>
              <w:t xml:space="preserve"> (4,28%)</w:t>
            </w:r>
          </w:p>
        </w:tc>
        <w:tc>
          <w:tcPr>
            <w:tcW w:w="2935" w:type="dxa"/>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0.00</w:t>
            </w:r>
          </w:p>
        </w:tc>
        <w:tc>
          <w:tcPr>
            <w:tcW w:w="2693" w:type="dxa"/>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0.00</w:t>
            </w:r>
          </w:p>
        </w:tc>
        <w:tc>
          <w:tcPr>
            <w:tcW w:w="2755" w:type="dxa"/>
            <w:tcBorders>
              <w:right w:val="single" w:sz="4" w:space="0" w:color="auto"/>
            </w:tcBorders>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 </w:t>
            </w:r>
          </w:p>
        </w:tc>
      </w:tr>
      <w:tr w:rsidR="00584908" w:rsidTr="00C97412">
        <w:tc>
          <w:tcPr>
            <w:tcW w:w="5767" w:type="dxa"/>
            <w:tcBorders>
              <w:left w:val="single" w:sz="4" w:space="0" w:color="auto"/>
            </w:tcBorders>
            <w:shd w:val="clear" w:color="auto" w:fill="D9D9D9"/>
            <w:vAlign w:val="bottom"/>
          </w:tcPr>
          <w:p w:rsidR="00584908" w:rsidRPr="00AE10EA" w:rsidRDefault="00584908" w:rsidP="00BF68DC">
            <w:pPr>
              <w:snapToGrid w:val="0"/>
              <w:rPr>
                <w:rFonts w:ascii="Palatino Linotype" w:hAnsi="Palatino Linotype"/>
                <w:sz w:val="14"/>
                <w:szCs w:val="14"/>
              </w:rPr>
            </w:pPr>
            <w:r w:rsidRPr="00AE10EA">
              <w:rPr>
                <w:rFonts w:ascii="Palatino Linotype" w:hAnsi="Palatino Linotype"/>
                <w:sz w:val="14"/>
                <w:szCs w:val="14"/>
              </w:rPr>
              <w:t>INFLACIÓN RESIDUAL (4+5+6) (24,73%)</w:t>
            </w:r>
          </w:p>
        </w:tc>
        <w:tc>
          <w:tcPr>
            <w:tcW w:w="2935" w:type="dxa"/>
            <w:shd w:val="clear" w:color="auto" w:fill="D9D9D9"/>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0.13</w:t>
            </w:r>
          </w:p>
        </w:tc>
        <w:tc>
          <w:tcPr>
            <w:tcW w:w="2693" w:type="dxa"/>
            <w:shd w:val="clear" w:color="auto" w:fill="D9D9D9"/>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-1.14</w:t>
            </w:r>
          </w:p>
        </w:tc>
        <w:tc>
          <w:tcPr>
            <w:tcW w:w="2755" w:type="dxa"/>
            <w:tcBorders>
              <w:right w:val="single" w:sz="4" w:space="0" w:color="auto"/>
            </w:tcBorders>
            <w:shd w:val="clear" w:color="auto" w:fill="D9D9D9"/>
            <w:vAlign w:val="bottom"/>
          </w:tcPr>
          <w:p w:rsidR="00584908" w:rsidRPr="00584908" w:rsidRDefault="00584908" w:rsidP="00584908">
            <w:pPr>
              <w:snapToGrid w:val="0"/>
              <w:ind w:left="24" w:right="8"/>
              <w:rPr>
                <w:rFonts w:ascii="Palatino Linotype" w:hAnsi="Palatino Linotype"/>
                <w:i/>
                <w:sz w:val="14"/>
                <w:szCs w:val="14"/>
                <w:lang w:val="en-GB"/>
              </w:rPr>
            </w:pPr>
            <w:r w:rsidRPr="00584908">
              <w:rPr>
                <w:rFonts w:ascii="Palatino Linotype" w:hAnsi="Palatino Linotype"/>
                <w:i/>
                <w:sz w:val="14"/>
                <w:szCs w:val="14"/>
                <w:lang w:val="en-GB"/>
              </w:rPr>
              <w:t> </w:t>
            </w:r>
          </w:p>
        </w:tc>
      </w:tr>
      <w:tr w:rsidR="00584908" w:rsidTr="00C97412">
        <w:tc>
          <w:tcPr>
            <w:tcW w:w="5767" w:type="dxa"/>
            <w:tcBorders>
              <w:left w:val="single" w:sz="4" w:space="0" w:color="auto"/>
              <w:bottom w:val="single" w:sz="4" w:space="0" w:color="auto"/>
            </w:tcBorders>
            <w:shd w:val="clear" w:color="auto" w:fill="D9D9D9"/>
            <w:vAlign w:val="bottom"/>
          </w:tcPr>
          <w:p w:rsidR="00584908" w:rsidRPr="00AE10EA" w:rsidRDefault="00584908" w:rsidP="00BF68DC">
            <w:pPr>
              <w:snapToGrid w:val="0"/>
              <w:rPr>
                <w:rFonts w:ascii="Palatino Linotype" w:hAnsi="Palatino Linotype"/>
                <w:sz w:val="14"/>
                <w:szCs w:val="14"/>
              </w:rPr>
            </w:pPr>
            <w:r w:rsidRPr="00AE10EA">
              <w:rPr>
                <w:rFonts w:ascii="Palatino Linotype" w:hAnsi="Palatino Linotype"/>
                <w:sz w:val="14"/>
                <w:szCs w:val="14"/>
              </w:rPr>
              <w:t>INFLACIÓN IPC (1+2+3+4+5+6) (100%)</w:t>
            </w:r>
          </w:p>
        </w:tc>
        <w:tc>
          <w:tcPr>
            <w:tcW w:w="2935" w:type="dxa"/>
            <w:tcBorders>
              <w:bottom w:val="single" w:sz="4" w:space="0" w:color="auto"/>
            </w:tcBorders>
            <w:shd w:val="clear" w:color="auto" w:fill="D9D9D9"/>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0.39</w:t>
            </w:r>
          </w:p>
        </w:tc>
        <w:tc>
          <w:tcPr>
            <w:tcW w:w="2693" w:type="dxa"/>
            <w:tcBorders>
              <w:bottom w:val="single" w:sz="4" w:space="0" w:color="auto"/>
            </w:tcBorders>
            <w:shd w:val="clear" w:color="auto" w:fill="D9D9D9"/>
            <w:vAlign w:val="bottom"/>
          </w:tcPr>
          <w:p w:rsidR="00584908" w:rsidRPr="00584908" w:rsidRDefault="00584908" w:rsidP="00584908">
            <w:pPr>
              <w:snapToGrid w:val="0"/>
              <w:ind w:left="24" w:right="8"/>
              <w:jc w:val="center"/>
              <w:rPr>
                <w:rFonts w:ascii="Palatino Linotype" w:hAnsi="Palatino Linotype"/>
                <w:i/>
                <w:sz w:val="14"/>
                <w:szCs w:val="14"/>
                <w:lang w:val="en-GB"/>
              </w:rPr>
            </w:pPr>
            <w:r w:rsidRPr="00584908">
              <w:rPr>
                <w:rFonts w:ascii="Palatino Linotype" w:hAnsi="Palatino Linotype"/>
                <w:i/>
                <w:sz w:val="14"/>
                <w:szCs w:val="14"/>
                <w:lang w:val="en-GB"/>
              </w:rPr>
              <w:t>0.18</w:t>
            </w:r>
          </w:p>
        </w:tc>
        <w:tc>
          <w:tcPr>
            <w:tcW w:w="2755" w:type="dxa"/>
            <w:tcBorders>
              <w:bottom w:val="single" w:sz="4" w:space="0" w:color="auto"/>
              <w:right w:val="single" w:sz="4" w:space="0" w:color="auto"/>
            </w:tcBorders>
            <w:shd w:val="clear" w:color="auto" w:fill="D9D9D9"/>
            <w:vAlign w:val="bottom"/>
          </w:tcPr>
          <w:p w:rsidR="00584908" w:rsidRPr="00584908" w:rsidRDefault="00584908" w:rsidP="00584908">
            <w:pPr>
              <w:snapToGrid w:val="0"/>
              <w:ind w:left="24" w:right="8"/>
              <w:rPr>
                <w:rFonts w:ascii="Palatino Linotype" w:hAnsi="Palatino Linotype"/>
                <w:i/>
                <w:sz w:val="14"/>
                <w:szCs w:val="14"/>
                <w:lang w:val="en-GB"/>
              </w:rPr>
            </w:pPr>
            <w:r w:rsidRPr="00584908">
              <w:rPr>
                <w:rFonts w:ascii="Palatino Linotype" w:hAnsi="Palatino Linotype"/>
                <w:i/>
                <w:sz w:val="14"/>
                <w:szCs w:val="14"/>
                <w:lang w:val="en-GB"/>
              </w:rPr>
              <w:t> </w:t>
            </w:r>
          </w:p>
        </w:tc>
      </w:tr>
      <w:tr w:rsidR="00017D00" w:rsidTr="007050AC">
        <w:tc>
          <w:tcPr>
            <w:tcW w:w="14150" w:type="dxa"/>
            <w:gridSpan w:val="4"/>
            <w:tcBorders>
              <w:top w:val="single" w:sz="4" w:space="0" w:color="auto"/>
              <w:left w:val="single" w:sz="4" w:space="0" w:color="auto"/>
              <w:bottom w:val="single" w:sz="4" w:space="0" w:color="auto"/>
              <w:right w:val="single" w:sz="4" w:space="0" w:color="auto"/>
            </w:tcBorders>
            <w:vAlign w:val="bottom"/>
          </w:tcPr>
          <w:p w:rsidR="00017D00" w:rsidRPr="00AE10EA" w:rsidRDefault="00017D00" w:rsidP="00BF68DC">
            <w:pPr>
              <w:snapToGrid w:val="0"/>
              <w:rPr>
                <w:rFonts w:ascii="Palatino Linotype" w:hAnsi="Palatino Linotype"/>
                <w:sz w:val="14"/>
                <w:szCs w:val="14"/>
              </w:rPr>
            </w:pPr>
            <w:r w:rsidRPr="00AE10EA">
              <w:rPr>
                <w:rFonts w:ascii="Palatino Linotype" w:hAnsi="Palatino Linotype"/>
                <w:sz w:val="14"/>
                <w:szCs w:val="14"/>
              </w:rPr>
              <w:t xml:space="preserve"> (*) Al 80% de significación. </w:t>
            </w:r>
          </w:p>
          <w:p w:rsidR="00017D00" w:rsidRPr="00AE10EA" w:rsidRDefault="00017D00" w:rsidP="00BF68DC">
            <w:pPr>
              <w:snapToGrid w:val="0"/>
              <w:rPr>
                <w:rFonts w:ascii="Palatino Linotype" w:hAnsi="Palatino Linotype"/>
                <w:sz w:val="14"/>
                <w:szCs w:val="14"/>
              </w:rPr>
            </w:pPr>
            <w:r w:rsidRPr="00AE10EA">
              <w:rPr>
                <w:rFonts w:ascii="Palatino Linotype" w:hAnsi="Palatino Linotype"/>
                <w:sz w:val="14"/>
                <w:szCs w:val="14"/>
              </w:rPr>
              <w:t xml:space="preserve">Fuente: Datos observados: INE - Predicción: </w:t>
            </w:r>
            <w:proofErr w:type="spellStart"/>
            <w:r w:rsidRPr="00AE10EA">
              <w:rPr>
                <w:rFonts w:ascii="Arial Black" w:hAnsi="Arial Black"/>
                <w:color w:val="99284C"/>
                <w:sz w:val="14"/>
                <w:szCs w:val="14"/>
                <w:lang w:val="es-UY"/>
              </w:rPr>
              <w:t>cinve</w:t>
            </w:r>
            <w:proofErr w:type="spellEnd"/>
          </w:p>
          <w:p w:rsidR="00017D00" w:rsidRPr="00AE10EA" w:rsidRDefault="00017D00" w:rsidP="00BF68DC">
            <w:pPr>
              <w:snapToGrid w:val="0"/>
              <w:rPr>
                <w:rFonts w:ascii="Palatino Linotype" w:hAnsi="Palatino Linotype"/>
                <w:sz w:val="14"/>
                <w:szCs w:val="14"/>
              </w:rPr>
            </w:pPr>
          </w:p>
          <w:p w:rsidR="00017D00" w:rsidRPr="00AE10EA" w:rsidRDefault="00017D00" w:rsidP="00BF68DC">
            <w:pPr>
              <w:pStyle w:val="Piedecuadro"/>
              <w:spacing w:line="240" w:lineRule="auto"/>
              <w:rPr>
                <w:rFonts w:ascii="Palatino Linotype" w:hAnsi="Palatino Linotype"/>
                <w:sz w:val="14"/>
                <w:szCs w:val="14"/>
                <w:lang w:val="es-ES"/>
              </w:rPr>
            </w:pPr>
            <w:r w:rsidRPr="00AE10EA">
              <w:rPr>
                <w:rFonts w:ascii="Palatino Linotype" w:hAnsi="Palatino Linotype"/>
                <w:sz w:val="14"/>
                <w:szCs w:val="14"/>
                <w:lang w:val="es-ES"/>
              </w:rPr>
              <w:t xml:space="preserve">BENE: Bienes Elaborados No Energéticos. </w:t>
            </w:r>
          </w:p>
          <w:p w:rsidR="00017D00" w:rsidRPr="00AE10EA" w:rsidRDefault="00017D00" w:rsidP="00BF68DC">
            <w:pPr>
              <w:pStyle w:val="Piedecuadro"/>
              <w:spacing w:line="240" w:lineRule="auto"/>
              <w:rPr>
                <w:rFonts w:ascii="Palatino Linotype" w:hAnsi="Palatino Linotype"/>
                <w:sz w:val="14"/>
                <w:szCs w:val="14"/>
                <w:lang w:val="es-ES"/>
              </w:rPr>
            </w:pPr>
            <w:proofErr w:type="spellStart"/>
            <w:r w:rsidRPr="00AE10EA">
              <w:rPr>
                <w:rFonts w:ascii="Palatino Linotype" w:hAnsi="Palatino Linotype"/>
                <w:sz w:val="14"/>
                <w:szCs w:val="14"/>
                <w:lang w:val="es-ES"/>
              </w:rPr>
              <w:t>SERVAd</w:t>
            </w:r>
            <w:proofErr w:type="spellEnd"/>
            <w:r w:rsidRPr="00AE10EA">
              <w:rPr>
                <w:rFonts w:ascii="Palatino Linotype" w:hAnsi="Palatino Linotype"/>
                <w:sz w:val="14"/>
                <w:szCs w:val="14"/>
                <w:lang w:val="es-ES"/>
              </w:rPr>
              <w:t xml:space="preserve">: Servicios de precios Administrados. </w:t>
            </w:r>
            <w:r w:rsidRPr="00AE10EA">
              <w:rPr>
                <w:rFonts w:ascii="Palatino Linotype" w:hAnsi="Palatino Linotype"/>
                <w:sz w:val="14"/>
                <w:szCs w:val="14"/>
                <w:lang w:val="es-ES"/>
              </w:rPr>
              <w:tab/>
            </w:r>
          </w:p>
          <w:p w:rsidR="00017D00" w:rsidRPr="00AE10EA" w:rsidRDefault="00017D00" w:rsidP="00BF68DC">
            <w:pPr>
              <w:pStyle w:val="Piedecuadro"/>
              <w:spacing w:line="240" w:lineRule="auto"/>
              <w:rPr>
                <w:rFonts w:ascii="Palatino Linotype" w:hAnsi="Palatino Linotype"/>
                <w:sz w:val="14"/>
                <w:szCs w:val="14"/>
                <w:lang w:val="es-ES"/>
              </w:rPr>
            </w:pPr>
            <w:proofErr w:type="spellStart"/>
            <w:r w:rsidRPr="00AE10EA">
              <w:rPr>
                <w:rFonts w:ascii="Palatino Linotype" w:hAnsi="Palatino Linotype"/>
                <w:sz w:val="14"/>
                <w:szCs w:val="14"/>
                <w:lang w:val="es-ES"/>
              </w:rPr>
              <w:t>SERVpub</w:t>
            </w:r>
            <w:proofErr w:type="spellEnd"/>
            <w:r w:rsidRPr="00AE10EA">
              <w:rPr>
                <w:rFonts w:ascii="Palatino Linotype" w:hAnsi="Palatino Linotype"/>
                <w:sz w:val="14"/>
                <w:szCs w:val="14"/>
                <w:lang w:val="es-ES"/>
              </w:rPr>
              <w:t xml:space="preserve">: Servicios de empresas públicas (telefonía y agua corriente). </w:t>
            </w:r>
          </w:p>
          <w:p w:rsidR="00017D00" w:rsidRPr="00AE10EA" w:rsidRDefault="00017D00" w:rsidP="00BF68DC">
            <w:pPr>
              <w:pStyle w:val="Piedecuadro"/>
              <w:snapToGrid w:val="0"/>
              <w:spacing w:line="240" w:lineRule="auto"/>
              <w:rPr>
                <w:rFonts w:ascii="Palatino Linotype" w:hAnsi="Palatino Linotype"/>
                <w:sz w:val="14"/>
                <w:szCs w:val="14"/>
                <w:lang w:val="es-ES"/>
              </w:rPr>
            </w:pPr>
            <w:proofErr w:type="spellStart"/>
            <w:r w:rsidRPr="00AE10EA">
              <w:rPr>
                <w:rFonts w:ascii="Palatino Linotype" w:hAnsi="Palatino Linotype"/>
                <w:sz w:val="14"/>
                <w:szCs w:val="14"/>
                <w:lang w:val="es-ES"/>
              </w:rPr>
              <w:t>SERVnoA</w:t>
            </w:r>
            <w:proofErr w:type="spellEnd"/>
            <w:r w:rsidRPr="00AE10EA">
              <w:rPr>
                <w:rFonts w:ascii="Palatino Linotype" w:hAnsi="Palatino Linotype"/>
                <w:sz w:val="14"/>
                <w:szCs w:val="14"/>
                <w:lang w:val="es-ES"/>
              </w:rPr>
              <w:t xml:space="preserve">: Servicios de precios no Administrados. </w:t>
            </w:r>
          </w:p>
          <w:p w:rsidR="00017D00" w:rsidRPr="00AE10EA" w:rsidRDefault="00017D00" w:rsidP="00BF68DC">
            <w:pPr>
              <w:pStyle w:val="Piedecuadro"/>
              <w:snapToGrid w:val="0"/>
              <w:spacing w:line="240" w:lineRule="auto"/>
              <w:rPr>
                <w:rFonts w:ascii="Palatino Linotype" w:hAnsi="Palatino Linotype"/>
                <w:sz w:val="14"/>
                <w:szCs w:val="14"/>
                <w:lang w:val="es-ES"/>
              </w:rPr>
            </w:pPr>
            <w:r w:rsidRPr="00AE10EA">
              <w:rPr>
                <w:rFonts w:ascii="Palatino Linotype" w:hAnsi="Palatino Linotype"/>
                <w:sz w:val="14"/>
                <w:szCs w:val="14"/>
                <w:lang w:val="es-ES"/>
              </w:rPr>
              <w:t xml:space="preserve">ANE: Alimentos No Elaborados. </w:t>
            </w:r>
          </w:p>
          <w:p w:rsidR="00017D00" w:rsidRPr="00AE10EA" w:rsidRDefault="00017D00" w:rsidP="00BF68DC">
            <w:pPr>
              <w:pStyle w:val="Piedecuadro"/>
              <w:snapToGrid w:val="0"/>
              <w:spacing w:line="240" w:lineRule="auto"/>
              <w:rPr>
                <w:rFonts w:ascii="Palatino Linotype" w:hAnsi="Palatino Linotype"/>
                <w:sz w:val="14"/>
                <w:szCs w:val="14"/>
                <w:lang w:val="es-ES"/>
              </w:rPr>
            </w:pPr>
            <w:r w:rsidRPr="00AE10EA">
              <w:rPr>
                <w:rFonts w:ascii="Palatino Linotype" w:hAnsi="Palatino Linotype"/>
                <w:sz w:val="14"/>
                <w:szCs w:val="14"/>
                <w:lang w:val="es-ES"/>
              </w:rPr>
              <w:t>ENE: Bienes Energéticos.</w:t>
            </w:r>
          </w:p>
        </w:tc>
      </w:tr>
    </w:tbl>
    <w:p w:rsidR="005A1572" w:rsidRDefault="00B34E0B" w:rsidP="00293DFF">
      <w:pPr>
        <w:pStyle w:val="Textoindependiente"/>
        <w:pageBreakBefore/>
      </w:pPr>
      <w:r>
        <w:rPr>
          <w:noProof/>
          <w:lang w:eastAsia="es-ES"/>
        </w:rPr>
        <w:lastRenderedPageBreak/>
        <w:drawing>
          <wp:anchor distT="0" distB="0" distL="114300" distR="114300" simplePos="0" relativeHeight="251652096" behindDoc="1" locked="0" layoutInCell="1" allowOverlap="1">
            <wp:simplePos x="0" y="0"/>
            <wp:positionH relativeFrom="column">
              <wp:posOffset>-1250950</wp:posOffset>
            </wp:positionH>
            <wp:positionV relativeFrom="paragraph">
              <wp:posOffset>-1143000</wp:posOffset>
            </wp:positionV>
            <wp:extent cx="797560" cy="7993380"/>
            <wp:effectExtent l="19050" t="0" r="2540" b="0"/>
            <wp:wrapNone/>
            <wp:docPr id="1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7" cstate="print"/>
                    <a:srcRect/>
                    <a:stretch>
                      <a:fillRect/>
                    </a:stretch>
                  </pic:blipFill>
                  <pic:spPr bwMode="auto">
                    <a:xfrm>
                      <a:off x="0" y="0"/>
                      <a:ext cx="797560" cy="7993380"/>
                    </a:xfrm>
                    <a:prstGeom prst="rect">
                      <a:avLst/>
                    </a:prstGeom>
                    <a:noFill/>
                    <a:ln w="9525">
                      <a:noFill/>
                      <a:miter lim="800000"/>
                      <a:headEnd/>
                      <a:tailEnd/>
                    </a:ln>
                  </pic:spPr>
                </pic:pic>
              </a:graphicData>
            </a:graphic>
          </wp:anchor>
        </w:drawing>
      </w:r>
      <w:r w:rsidR="006F3493">
        <w:tab/>
      </w:r>
      <w:r w:rsidR="006F3493">
        <w:tab/>
      </w:r>
    </w:p>
    <w:p w:rsidR="005A1572" w:rsidRDefault="005A1572" w:rsidP="005A1572">
      <w:pPr>
        <w:pStyle w:val="Piedecuadro"/>
        <w:spacing w:line="240" w:lineRule="auto"/>
        <w:jc w:val="center"/>
        <w:rPr>
          <w:b/>
          <w:color w:val="000000"/>
        </w:rPr>
      </w:pPr>
    </w:p>
    <w:tbl>
      <w:tblPr>
        <w:tblW w:w="0" w:type="auto"/>
        <w:jc w:val="center"/>
        <w:tblLayout w:type="fixed"/>
        <w:tblCellMar>
          <w:top w:w="55" w:type="dxa"/>
          <w:left w:w="55" w:type="dxa"/>
          <w:bottom w:w="55" w:type="dxa"/>
          <w:right w:w="55" w:type="dxa"/>
        </w:tblCellMar>
        <w:tblLook w:val="0000"/>
      </w:tblPr>
      <w:tblGrid>
        <w:gridCol w:w="2100"/>
        <w:gridCol w:w="1105"/>
        <w:gridCol w:w="963"/>
        <w:gridCol w:w="1090"/>
        <w:gridCol w:w="2021"/>
        <w:gridCol w:w="1137"/>
        <w:gridCol w:w="1216"/>
        <w:gridCol w:w="1121"/>
        <w:gridCol w:w="1800"/>
        <w:gridCol w:w="1690"/>
      </w:tblGrid>
      <w:tr w:rsidR="00BB13FD" w:rsidTr="00C402A0">
        <w:trPr>
          <w:cantSplit/>
          <w:jc w:val="center"/>
        </w:trPr>
        <w:tc>
          <w:tcPr>
            <w:tcW w:w="14243" w:type="dxa"/>
            <w:gridSpan w:val="10"/>
            <w:tcBorders>
              <w:top w:val="single" w:sz="4" w:space="0" w:color="auto"/>
              <w:left w:val="single" w:sz="4" w:space="0" w:color="auto"/>
              <w:bottom w:val="single" w:sz="4" w:space="0" w:color="auto"/>
              <w:right w:val="single" w:sz="4" w:space="0" w:color="auto"/>
            </w:tcBorders>
            <w:vAlign w:val="center"/>
          </w:tcPr>
          <w:p w:rsidR="005A1572" w:rsidRDefault="005A1572" w:rsidP="00077F19">
            <w:pPr>
              <w:pStyle w:val="Piedecuadro"/>
              <w:keepNext/>
              <w:keepLines/>
              <w:snapToGrid w:val="0"/>
              <w:spacing w:line="240" w:lineRule="auto"/>
              <w:ind w:left="24" w:right="181"/>
              <w:jc w:val="right"/>
              <w:rPr>
                <w:rFonts w:ascii="Palatino Linotype" w:hAnsi="Palatino Linotype"/>
                <w:b/>
                <w:i/>
                <w:iCs/>
                <w:color w:val="99284C"/>
                <w:sz w:val="16"/>
                <w:szCs w:val="16"/>
              </w:rPr>
            </w:pPr>
            <w:r>
              <w:rPr>
                <w:rFonts w:ascii="Palatino Linotype" w:hAnsi="Palatino Linotype"/>
                <w:b/>
                <w:i/>
                <w:iCs/>
                <w:color w:val="99284C"/>
                <w:sz w:val="16"/>
                <w:szCs w:val="16"/>
              </w:rPr>
              <w:t>Cuadro</w:t>
            </w:r>
            <w:r w:rsidR="000E1727">
              <w:rPr>
                <w:rFonts w:ascii="Palatino Linotype" w:hAnsi="Palatino Linotype"/>
                <w:b/>
                <w:i/>
                <w:iCs/>
                <w:color w:val="99284C"/>
                <w:sz w:val="16"/>
                <w:szCs w:val="16"/>
                <w:lang w:val="es-ES_tradnl"/>
              </w:rPr>
              <w:t xml:space="preserve"> Estadístico </w:t>
            </w:r>
            <w:r>
              <w:rPr>
                <w:rFonts w:ascii="Palatino Linotype" w:hAnsi="Palatino Linotype"/>
                <w:b/>
                <w:i/>
                <w:iCs/>
                <w:color w:val="99284C"/>
                <w:sz w:val="16"/>
                <w:szCs w:val="16"/>
              </w:rPr>
              <w:t xml:space="preserve">2 </w:t>
            </w:r>
          </w:p>
        </w:tc>
      </w:tr>
      <w:tr w:rsidR="00BB13FD" w:rsidTr="00C402A0">
        <w:trPr>
          <w:cantSplit/>
          <w:trHeight w:val="554"/>
          <w:jc w:val="center"/>
        </w:trPr>
        <w:tc>
          <w:tcPr>
            <w:tcW w:w="14243"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5A1572" w:rsidRDefault="005A1572" w:rsidP="005E792D">
            <w:pPr>
              <w:keepNext/>
              <w:keepLines/>
              <w:snapToGrid w:val="0"/>
              <w:ind w:left="24" w:right="8"/>
              <w:jc w:val="center"/>
              <w:rPr>
                <w:rFonts w:ascii="Palatino Linotype" w:hAnsi="Palatino Linotype"/>
                <w:b/>
                <w:color w:val="000000"/>
                <w:sz w:val="18"/>
                <w:szCs w:val="18"/>
                <w:lang w:val="es-UY"/>
              </w:rPr>
            </w:pPr>
            <w:r>
              <w:rPr>
                <w:rFonts w:ascii="Palatino Linotype" w:hAnsi="Palatino Linotype"/>
                <w:b/>
                <w:color w:val="000000"/>
                <w:sz w:val="18"/>
                <w:szCs w:val="18"/>
                <w:lang w:val="es-UY"/>
              </w:rPr>
              <w:t>Predicciones de inflación, variación dic</w:t>
            </w:r>
            <w:proofErr w:type="gramStart"/>
            <w:r>
              <w:rPr>
                <w:rFonts w:ascii="Palatino Linotype" w:hAnsi="Palatino Linotype"/>
                <w:b/>
                <w:color w:val="000000"/>
                <w:sz w:val="18"/>
                <w:szCs w:val="18"/>
                <w:lang w:val="es-UY"/>
              </w:rPr>
              <w:t>./</w:t>
            </w:r>
            <w:proofErr w:type="gramEnd"/>
            <w:r>
              <w:rPr>
                <w:rFonts w:ascii="Palatino Linotype" w:hAnsi="Palatino Linotype"/>
                <w:b/>
                <w:color w:val="000000"/>
                <w:sz w:val="18"/>
                <w:szCs w:val="18"/>
                <w:lang w:val="es-UY"/>
              </w:rPr>
              <w:t>dic. y promedios anuales</w:t>
            </w:r>
          </w:p>
        </w:tc>
      </w:tr>
      <w:tr w:rsidR="00BB13FD" w:rsidTr="00C402A0">
        <w:trPr>
          <w:cantSplit/>
          <w:jc w:val="center"/>
        </w:trPr>
        <w:tc>
          <w:tcPr>
            <w:tcW w:w="2100" w:type="dxa"/>
            <w:tcBorders>
              <w:top w:val="single" w:sz="4" w:space="0" w:color="auto"/>
              <w:left w:val="single" w:sz="4" w:space="0" w:color="auto"/>
              <w:bottom w:val="single" w:sz="4" w:space="0" w:color="auto"/>
              <w:right w:val="single" w:sz="4" w:space="0" w:color="auto"/>
            </w:tcBorders>
            <w:vAlign w:val="center"/>
          </w:tcPr>
          <w:p w:rsidR="005A1572" w:rsidRDefault="005A1572" w:rsidP="005E792D">
            <w:pPr>
              <w:keepNext/>
              <w:keepLines/>
              <w:snapToGrid w:val="0"/>
              <w:ind w:left="24" w:right="8"/>
              <w:jc w:val="center"/>
              <w:rPr>
                <w:rFonts w:ascii="Palatino Linotype" w:hAnsi="Palatino Linotype"/>
                <w:b/>
                <w:color w:val="000000"/>
                <w:sz w:val="14"/>
                <w:szCs w:val="14"/>
                <w:lang w:val="es-UY"/>
              </w:rPr>
            </w:pPr>
          </w:p>
        </w:tc>
        <w:tc>
          <w:tcPr>
            <w:tcW w:w="12143" w:type="dxa"/>
            <w:gridSpan w:val="9"/>
            <w:tcBorders>
              <w:top w:val="single" w:sz="4" w:space="0" w:color="auto"/>
              <w:left w:val="single" w:sz="4" w:space="0" w:color="auto"/>
              <w:bottom w:val="single" w:sz="4" w:space="0" w:color="auto"/>
              <w:right w:val="single" w:sz="4" w:space="0" w:color="auto"/>
            </w:tcBorders>
            <w:vAlign w:val="center"/>
          </w:tcPr>
          <w:p w:rsidR="005A1572" w:rsidRDefault="00E007C2" w:rsidP="00E007C2">
            <w:pPr>
              <w:keepNext/>
              <w:keepLines/>
              <w:snapToGrid w:val="0"/>
              <w:ind w:left="24" w:right="8"/>
              <w:rPr>
                <w:rFonts w:ascii="Palatino Linotype" w:hAnsi="Palatino Linotype"/>
                <w:b/>
                <w:color w:val="000000"/>
                <w:sz w:val="14"/>
                <w:szCs w:val="14"/>
                <w:lang w:val="es-UY"/>
              </w:rPr>
            </w:pPr>
            <w:r>
              <w:rPr>
                <w:rFonts w:ascii="Palatino Linotype" w:hAnsi="Palatino Linotype"/>
                <w:b/>
                <w:color w:val="000000"/>
                <w:sz w:val="14"/>
                <w:szCs w:val="14"/>
                <w:lang w:val="es-UY"/>
              </w:rPr>
              <w:t xml:space="preserve">                                                                                                              </w:t>
            </w:r>
            <w:r w:rsidR="00F2654F">
              <w:rPr>
                <w:rFonts w:ascii="Palatino Linotype" w:hAnsi="Palatino Linotype"/>
                <w:b/>
                <w:color w:val="000000"/>
                <w:sz w:val="14"/>
                <w:szCs w:val="14"/>
                <w:lang w:val="es-UY"/>
              </w:rPr>
              <w:t>Índices</w:t>
            </w:r>
            <w:r w:rsidR="005A1572">
              <w:rPr>
                <w:rFonts w:ascii="Palatino Linotype" w:hAnsi="Palatino Linotype"/>
                <w:b/>
                <w:color w:val="000000"/>
                <w:sz w:val="14"/>
                <w:szCs w:val="14"/>
                <w:lang w:val="es-UY"/>
              </w:rPr>
              <w:t xml:space="preserve"> de los Precios del Consumo</w:t>
            </w:r>
          </w:p>
        </w:tc>
      </w:tr>
      <w:tr w:rsidR="00BB13FD" w:rsidTr="00C402A0">
        <w:trPr>
          <w:cantSplit/>
          <w:jc w:val="center"/>
        </w:trPr>
        <w:tc>
          <w:tcPr>
            <w:tcW w:w="2100" w:type="dxa"/>
            <w:tcBorders>
              <w:top w:val="single" w:sz="4" w:space="0" w:color="auto"/>
              <w:left w:val="single" w:sz="4" w:space="0" w:color="auto"/>
              <w:bottom w:val="single" w:sz="4" w:space="0" w:color="auto"/>
              <w:right w:val="single" w:sz="4" w:space="0" w:color="auto"/>
            </w:tcBorders>
            <w:vAlign w:val="center"/>
          </w:tcPr>
          <w:p w:rsidR="005A1572" w:rsidRDefault="005A1572" w:rsidP="005E792D">
            <w:pPr>
              <w:keepNext/>
              <w:keepLines/>
              <w:snapToGrid w:val="0"/>
              <w:ind w:left="24" w:right="8"/>
              <w:jc w:val="center"/>
              <w:rPr>
                <w:rFonts w:ascii="Palatino Linotype" w:hAnsi="Palatino Linotype"/>
                <w:color w:val="000000"/>
                <w:sz w:val="14"/>
                <w:szCs w:val="14"/>
                <w:lang w:val="es-UY"/>
              </w:rPr>
            </w:pPr>
            <w:r>
              <w:rPr>
                <w:rFonts w:ascii="Palatino Linotype" w:hAnsi="Palatino Linotype"/>
                <w:color w:val="000000"/>
                <w:sz w:val="14"/>
                <w:szCs w:val="14"/>
                <w:lang w:val="es-UY"/>
              </w:rPr>
              <w:t>Mes/Año</w:t>
            </w:r>
          </w:p>
        </w:tc>
        <w:tc>
          <w:tcPr>
            <w:tcW w:w="1105" w:type="dxa"/>
            <w:tcBorders>
              <w:top w:val="single" w:sz="4" w:space="0" w:color="auto"/>
              <w:left w:val="single" w:sz="4" w:space="0" w:color="auto"/>
              <w:bottom w:val="single" w:sz="4" w:space="0" w:color="auto"/>
              <w:right w:val="single" w:sz="4" w:space="0" w:color="auto"/>
            </w:tcBorders>
            <w:vAlign w:val="center"/>
          </w:tcPr>
          <w:p w:rsidR="005A1572" w:rsidRDefault="005A1572" w:rsidP="005E792D">
            <w:pPr>
              <w:snapToGrid w:val="0"/>
              <w:ind w:left="24" w:right="8"/>
              <w:jc w:val="center"/>
              <w:rPr>
                <w:rFonts w:ascii="Palatino Linotype" w:hAnsi="Palatino Linotype"/>
                <w:sz w:val="14"/>
                <w:szCs w:val="14"/>
              </w:rPr>
            </w:pPr>
            <w:r>
              <w:rPr>
                <w:rFonts w:ascii="Palatino Linotype" w:hAnsi="Palatino Linotype"/>
                <w:sz w:val="14"/>
                <w:szCs w:val="14"/>
              </w:rPr>
              <w:t xml:space="preserve">(1) </w:t>
            </w:r>
          </w:p>
          <w:p w:rsidR="005A1572" w:rsidRDefault="005A1572" w:rsidP="005E792D">
            <w:pPr>
              <w:ind w:left="24" w:right="8"/>
              <w:jc w:val="center"/>
              <w:rPr>
                <w:rFonts w:ascii="Palatino Linotype" w:hAnsi="Palatino Linotype"/>
                <w:sz w:val="14"/>
                <w:szCs w:val="14"/>
              </w:rPr>
            </w:pPr>
            <w:r>
              <w:rPr>
                <w:rFonts w:ascii="Palatino Linotype" w:hAnsi="Palatino Linotype"/>
                <w:sz w:val="14"/>
                <w:szCs w:val="14"/>
              </w:rPr>
              <w:t xml:space="preserve">BENE </w:t>
            </w:r>
          </w:p>
          <w:p w:rsidR="005A1572" w:rsidRDefault="00857133" w:rsidP="00857133">
            <w:pPr>
              <w:ind w:left="24" w:right="8"/>
              <w:jc w:val="center"/>
              <w:rPr>
                <w:rFonts w:ascii="Palatino Linotype" w:hAnsi="Palatino Linotype"/>
                <w:sz w:val="14"/>
                <w:szCs w:val="14"/>
              </w:rPr>
            </w:pPr>
            <w:r>
              <w:rPr>
                <w:rFonts w:ascii="Palatino Linotype" w:hAnsi="Palatino Linotype"/>
                <w:sz w:val="14"/>
                <w:szCs w:val="14"/>
              </w:rPr>
              <w:t>(36,38</w:t>
            </w:r>
            <w:r w:rsidR="005A1572">
              <w:rPr>
                <w:rFonts w:ascii="Palatino Linotype" w:hAnsi="Palatino Linotype"/>
                <w:sz w:val="14"/>
                <w:szCs w:val="14"/>
              </w:rPr>
              <w:t>%)</w:t>
            </w:r>
          </w:p>
        </w:tc>
        <w:tc>
          <w:tcPr>
            <w:tcW w:w="963" w:type="dxa"/>
            <w:tcBorders>
              <w:top w:val="single" w:sz="4" w:space="0" w:color="auto"/>
              <w:left w:val="single" w:sz="4" w:space="0" w:color="auto"/>
              <w:bottom w:val="single" w:sz="4" w:space="0" w:color="auto"/>
              <w:right w:val="single" w:sz="4" w:space="0" w:color="auto"/>
            </w:tcBorders>
            <w:vAlign w:val="center"/>
          </w:tcPr>
          <w:p w:rsidR="005A1572" w:rsidRDefault="005A1572" w:rsidP="005E792D">
            <w:pPr>
              <w:snapToGrid w:val="0"/>
              <w:ind w:left="24" w:right="8"/>
              <w:jc w:val="center"/>
              <w:rPr>
                <w:rFonts w:ascii="Palatino Linotype" w:hAnsi="Palatino Linotype"/>
                <w:sz w:val="14"/>
                <w:szCs w:val="14"/>
              </w:rPr>
            </w:pPr>
            <w:r>
              <w:rPr>
                <w:rFonts w:ascii="Palatino Linotype" w:hAnsi="Palatino Linotype"/>
                <w:sz w:val="14"/>
                <w:szCs w:val="14"/>
              </w:rPr>
              <w:t>(2)</w:t>
            </w:r>
          </w:p>
          <w:p w:rsidR="005A1572" w:rsidRDefault="005A1572" w:rsidP="007050AC">
            <w:pPr>
              <w:snapToGrid w:val="0"/>
              <w:ind w:left="24" w:right="8"/>
              <w:jc w:val="center"/>
              <w:rPr>
                <w:rFonts w:ascii="Palatino Linotype" w:hAnsi="Palatino Linotype"/>
                <w:sz w:val="14"/>
                <w:szCs w:val="14"/>
              </w:rPr>
            </w:pPr>
            <w:r>
              <w:rPr>
                <w:rFonts w:ascii="Palatino Linotype" w:hAnsi="Palatino Linotype"/>
                <w:sz w:val="14"/>
                <w:szCs w:val="14"/>
              </w:rPr>
              <w:t xml:space="preserve"> </w:t>
            </w:r>
            <w:proofErr w:type="spellStart"/>
            <w:r>
              <w:rPr>
                <w:rFonts w:ascii="Palatino Linotype" w:hAnsi="Palatino Linotype"/>
                <w:sz w:val="14"/>
                <w:szCs w:val="14"/>
              </w:rPr>
              <w:t>SERVnoA</w:t>
            </w:r>
            <w:proofErr w:type="spellEnd"/>
            <w:r>
              <w:rPr>
                <w:rFonts w:ascii="Palatino Linotype" w:hAnsi="Palatino Linotype"/>
                <w:sz w:val="14"/>
                <w:szCs w:val="14"/>
              </w:rPr>
              <w:t xml:space="preserve"> (</w:t>
            </w:r>
            <w:r w:rsidR="00857133">
              <w:rPr>
                <w:rFonts w:ascii="Palatino Linotype" w:hAnsi="Palatino Linotype"/>
                <w:sz w:val="14"/>
                <w:szCs w:val="14"/>
              </w:rPr>
              <w:t>30,34</w:t>
            </w:r>
            <w:r>
              <w:rPr>
                <w:rFonts w:ascii="Palatino Linotype" w:hAnsi="Palatino Linotype"/>
                <w:sz w:val="14"/>
                <w:szCs w:val="14"/>
              </w:rPr>
              <w:t>%)</w:t>
            </w:r>
          </w:p>
        </w:tc>
        <w:tc>
          <w:tcPr>
            <w:tcW w:w="1090" w:type="dxa"/>
            <w:tcBorders>
              <w:top w:val="single" w:sz="4" w:space="0" w:color="auto"/>
              <w:left w:val="single" w:sz="4" w:space="0" w:color="auto"/>
              <w:bottom w:val="single" w:sz="4" w:space="0" w:color="auto"/>
              <w:right w:val="single" w:sz="4" w:space="0" w:color="auto"/>
            </w:tcBorders>
            <w:vAlign w:val="center"/>
          </w:tcPr>
          <w:p w:rsidR="005A1572" w:rsidRDefault="005A1572" w:rsidP="005E792D">
            <w:pPr>
              <w:snapToGrid w:val="0"/>
              <w:ind w:left="24" w:right="8"/>
              <w:jc w:val="center"/>
              <w:rPr>
                <w:rFonts w:ascii="Palatino Linotype" w:hAnsi="Palatino Linotype"/>
                <w:sz w:val="14"/>
                <w:szCs w:val="14"/>
              </w:rPr>
            </w:pPr>
            <w:r>
              <w:rPr>
                <w:rFonts w:ascii="Palatino Linotype" w:hAnsi="Palatino Linotype"/>
                <w:sz w:val="14"/>
                <w:szCs w:val="14"/>
              </w:rPr>
              <w:t xml:space="preserve">(3) </w:t>
            </w:r>
          </w:p>
          <w:p w:rsidR="005A1572" w:rsidRDefault="005A1572" w:rsidP="00857133">
            <w:pPr>
              <w:ind w:left="24" w:right="8"/>
              <w:jc w:val="center"/>
              <w:rPr>
                <w:rFonts w:ascii="Palatino Linotype" w:hAnsi="Palatino Linotype"/>
                <w:sz w:val="14"/>
                <w:szCs w:val="14"/>
              </w:rPr>
            </w:pPr>
            <w:proofErr w:type="spellStart"/>
            <w:r>
              <w:rPr>
                <w:rFonts w:ascii="Palatino Linotype" w:hAnsi="Palatino Linotype"/>
                <w:sz w:val="14"/>
                <w:szCs w:val="14"/>
              </w:rPr>
              <w:t>SERVAd</w:t>
            </w:r>
            <w:proofErr w:type="spellEnd"/>
            <w:r>
              <w:rPr>
                <w:rFonts w:ascii="Palatino Linotype" w:hAnsi="Palatino Linotype"/>
                <w:sz w:val="14"/>
                <w:szCs w:val="14"/>
              </w:rPr>
              <w:t xml:space="preserve"> (</w:t>
            </w:r>
            <w:r w:rsidR="00857133">
              <w:rPr>
                <w:rFonts w:ascii="Palatino Linotype" w:hAnsi="Palatino Linotype"/>
                <w:sz w:val="14"/>
                <w:szCs w:val="14"/>
              </w:rPr>
              <w:t>8,55</w:t>
            </w:r>
            <w:r>
              <w:rPr>
                <w:rFonts w:ascii="Palatino Linotype" w:hAnsi="Palatino Linotype"/>
                <w:sz w:val="14"/>
                <w:szCs w:val="14"/>
              </w:rPr>
              <w:t>%)</w:t>
            </w:r>
          </w:p>
        </w:tc>
        <w:tc>
          <w:tcPr>
            <w:tcW w:w="2021" w:type="dxa"/>
            <w:tcBorders>
              <w:top w:val="single" w:sz="4" w:space="0" w:color="auto"/>
              <w:left w:val="single" w:sz="4" w:space="0" w:color="auto"/>
              <w:bottom w:val="single" w:sz="4" w:space="0" w:color="auto"/>
              <w:right w:val="single" w:sz="4" w:space="0" w:color="auto"/>
            </w:tcBorders>
            <w:vAlign w:val="center"/>
          </w:tcPr>
          <w:p w:rsidR="005A1572" w:rsidRDefault="005A1572" w:rsidP="005E792D">
            <w:pPr>
              <w:snapToGrid w:val="0"/>
              <w:ind w:left="24" w:right="8"/>
              <w:jc w:val="center"/>
              <w:rPr>
                <w:rFonts w:ascii="Palatino Linotype" w:hAnsi="Palatino Linotype"/>
                <w:sz w:val="14"/>
                <w:szCs w:val="14"/>
              </w:rPr>
            </w:pPr>
            <w:r>
              <w:rPr>
                <w:rFonts w:ascii="Palatino Linotype" w:hAnsi="Palatino Linotype"/>
                <w:sz w:val="14"/>
                <w:szCs w:val="14"/>
              </w:rPr>
              <w:t xml:space="preserve">INFLACIÓN TENDENCIAL </w:t>
            </w:r>
          </w:p>
          <w:p w:rsidR="005A1572" w:rsidRDefault="005A1572" w:rsidP="005E792D">
            <w:pPr>
              <w:snapToGrid w:val="0"/>
              <w:ind w:left="24" w:right="8"/>
              <w:jc w:val="center"/>
              <w:rPr>
                <w:rFonts w:ascii="Palatino Linotype" w:hAnsi="Palatino Linotype"/>
                <w:sz w:val="14"/>
                <w:szCs w:val="14"/>
              </w:rPr>
            </w:pPr>
            <w:r>
              <w:rPr>
                <w:rFonts w:ascii="Palatino Linotype" w:hAnsi="Palatino Linotype"/>
                <w:sz w:val="14"/>
                <w:szCs w:val="14"/>
              </w:rPr>
              <w:t>(1+2+3)</w:t>
            </w:r>
          </w:p>
          <w:p w:rsidR="005A1572" w:rsidRDefault="005A1572"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 (</w:t>
            </w:r>
            <w:r w:rsidR="000309DB">
              <w:rPr>
                <w:rFonts w:ascii="Palatino Linotype" w:hAnsi="Palatino Linotype"/>
                <w:sz w:val="14"/>
                <w:szCs w:val="14"/>
              </w:rPr>
              <w:t>75,27</w:t>
            </w:r>
            <w:r>
              <w:rPr>
                <w:rFonts w:ascii="Palatino Linotype" w:hAnsi="Palatino Linotype"/>
                <w:sz w:val="14"/>
                <w:szCs w:val="14"/>
              </w:rPr>
              <w:t>%)</w:t>
            </w:r>
          </w:p>
        </w:tc>
        <w:tc>
          <w:tcPr>
            <w:tcW w:w="1137" w:type="dxa"/>
            <w:tcBorders>
              <w:top w:val="single" w:sz="4" w:space="0" w:color="auto"/>
              <w:left w:val="single" w:sz="4" w:space="0" w:color="auto"/>
              <w:bottom w:val="single" w:sz="4" w:space="0" w:color="auto"/>
              <w:right w:val="single" w:sz="4" w:space="0" w:color="auto"/>
            </w:tcBorders>
            <w:vAlign w:val="center"/>
          </w:tcPr>
          <w:p w:rsidR="005A1572" w:rsidRDefault="005A1572" w:rsidP="005E792D">
            <w:pPr>
              <w:snapToGrid w:val="0"/>
              <w:ind w:left="24" w:right="8"/>
              <w:jc w:val="center"/>
              <w:rPr>
                <w:rFonts w:ascii="Palatino Linotype" w:hAnsi="Palatino Linotype"/>
                <w:sz w:val="14"/>
                <w:szCs w:val="14"/>
              </w:rPr>
            </w:pPr>
            <w:r>
              <w:rPr>
                <w:rFonts w:ascii="Palatino Linotype" w:hAnsi="Palatino Linotype"/>
                <w:sz w:val="14"/>
                <w:szCs w:val="14"/>
              </w:rPr>
              <w:t xml:space="preserve">(4) </w:t>
            </w:r>
          </w:p>
          <w:p w:rsidR="005A1572" w:rsidRDefault="005A1572" w:rsidP="00857133">
            <w:pPr>
              <w:ind w:left="24" w:right="8"/>
              <w:jc w:val="center"/>
              <w:rPr>
                <w:rFonts w:ascii="Palatino Linotype" w:hAnsi="Palatino Linotype"/>
                <w:sz w:val="14"/>
                <w:szCs w:val="14"/>
              </w:rPr>
            </w:pPr>
            <w:r>
              <w:rPr>
                <w:rFonts w:ascii="Palatino Linotype" w:hAnsi="Palatino Linotype"/>
                <w:sz w:val="14"/>
                <w:szCs w:val="14"/>
              </w:rPr>
              <w:t>ANE (</w:t>
            </w:r>
            <w:r w:rsidR="00857133">
              <w:rPr>
                <w:rFonts w:ascii="Palatino Linotype" w:hAnsi="Palatino Linotype"/>
                <w:sz w:val="14"/>
                <w:szCs w:val="14"/>
              </w:rPr>
              <w:t>12,12</w:t>
            </w:r>
            <w:r>
              <w:rPr>
                <w:rFonts w:ascii="Palatino Linotype" w:hAnsi="Palatino Linotype"/>
                <w:sz w:val="14"/>
                <w:szCs w:val="14"/>
              </w:rPr>
              <w:t>%)</w:t>
            </w:r>
          </w:p>
        </w:tc>
        <w:tc>
          <w:tcPr>
            <w:tcW w:w="1216" w:type="dxa"/>
            <w:tcBorders>
              <w:top w:val="single" w:sz="4" w:space="0" w:color="auto"/>
              <w:left w:val="single" w:sz="4" w:space="0" w:color="auto"/>
              <w:bottom w:val="single" w:sz="4" w:space="0" w:color="auto"/>
              <w:right w:val="single" w:sz="4" w:space="0" w:color="auto"/>
            </w:tcBorders>
            <w:vAlign w:val="center"/>
          </w:tcPr>
          <w:p w:rsidR="005A1572" w:rsidRDefault="005A1572" w:rsidP="005E792D">
            <w:pPr>
              <w:snapToGrid w:val="0"/>
              <w:ind w:left="24" w:right="8"/>
              <w:jc w:val="center"/>
              <w:rPr>
                <w:rFonts w:ascii="Palatino Linotype" w:hAnsi="Palatino Linotype"/>
                <w:sz w:val="14"/>
                <w:szCs w:val="14"/>
              </w:rPr>
            </w:pPr>
            <w:r>
              <w:rPr>
                <w:rFonts w:ascii="Palatino Linotype" w:hAnsi="Palatino Linotype"/>
                <w:sz w:val="14"/>
                <w:szCs w:val="14"/>
              </w:rPr>
              <w:t xml:space="preserve">(5) </w:t>
            </w:r>
          </w:p>
          <w:p w:rsidR="005A1572" w:rsidRDefault="005A1572" w:rsidP="005E792D">
            <w:pPr>
              <w:ind w:left="24" w:right="8"/>
              <w:jc w:val="center"/>
              <w:rPr>
                <w:rFonts w:ascii="Palatino Linotype" w:hAnsi="Palatino Linotype"/>
                <w:sz w:val="14"/>
                <w:szCs w:val="14"/>
              </w:rPr>
            </w:pPr>
            <w:r>
              <w:rPr>
                <w:rFonts w:ascii="Palatino Linotype" w:hAnsi="Palatino Linotype"/>
                <w:sz w:val="14"/>
                <w:szCs w:val="14"/>
              </w:rPr>
              <w:t>ENE</w:t>
            </w:r>
          </w:p>
          <w:p w:rsidR="005A1572" w:rsidRDefault="005A1572" w:rsidP="00857133">
            <w:pPr>
              <w:ind w:left="24" w:right="8"/>
              <w:jc w:val="center"/>
              <w:rPr>
                <w:rFonts w:ascii="Palatino Linotype" w:hAnsi="Palatino Linotype"/>
                <w:sz w:val="14"/>
                <w:szCs w:val="14"/>
              </w:rPr>
            </w:pPr>
            <w:r>
              <w:rPr>
                <w:rFonts w:ascii="Palatino Linotype" w:hAnsi="Palatino Linotype"/>
                <w:sz w:val="14"/>
                <w:szCs w:val="14"/>
              </w:rPr>
              <w:t>(</w:t>
            </w:r>
            <w:r w:rsidR="00857133">
              <w:rPr>
                <w:rFonts w:ascii="Palatino Linotype" w:hAnsi="Palatino Linotype"/>
                <w:sz w:val="14"/>
                <w:szCs w:val="14"/>
              </w:rPr>
              <w:t>8,33</w:t>
            </w:r>
            <w:r>
              <w:rPr>
                <w:rFonts w:ascii="Palatino Linotype" w:hAnsi="Palatino Linotype"/>
                <w:sz w:val="14"/>
                <w:szCs w:val="14"/>
              </w:rPr>
              <w:t>%)</w:t>
            </w:r>
          </w:p>
        </w:tc>
        <w:tc>
          <w:tcPr>
            <w:tcW w:w="1121" w:type="dxa"/>
            <w:tcBorders>
              <w:top w:val="single" w:sz="4" w:space="0" w:color="auto"/>
              <w:left w:val="single" w:sz="4" w:space="0" w:color="auto"/>
              <w:bottom w:val="single" w:sz="4" w:space="0" w:color="auto"/>
              <w:right w:val="single" w:sz="4" w:space="0" w:color="auto"/>
            </w:tcBorders>
            <w:vAlign w:val="center"/>
          </w:tcPr>
          <w:p w:rsidR="005A1572" w:rsidRDefault="005A1572" w:rsidP="005E792D">
            <w:pPr>
              <w:snapToGrid w:val="0"/>
              <w:ind w:left="24" w:right="8"/>
              <w:jc w:val="center"/>
              <w:rPr>
                <w:rFonts w:ascii="Palatino Linotype" w:hAnsi="Palatino Linotype"/>
                <w:sz w:val="14"/>
                <w:szCs w:val="14"/>
              </w:rPr>
            </w:pPr>
            <w:r>
              <w:rPr>
                <w:rFonts w:ascii="Palatino Linotype" w:hAnsi="Palatino Linotype"/>
                <w:sz w:val="14"/>
                <w:szCs w:val="14"/>
              </w:rPr>
              <w:t xml:space="preserve">(6) </w:t>
            </w:r>
          </w:p>
          <w:p w:rsidR="005A1572" w:rsidRDefault="005A1572" w:rsidP="005E792D">
            <w:pPr>
              <w:ind w:left="24" w:right="8"/>
              <w:jc w:val="center"/>
              <w:rPr>
                <w:rFonts w:ascii="Palatino Linotype" w:hAnsi="Palatino Linotype"/>
                <w:sz w:val="14"/>
                <w:szCs w:val="14"/>
              </w:rPr>
            </w:pPr>
            <w:proofErr w:type="spellStart"/>
            <w:r>
              <w:rPr>
                <w:rFonts w:ascii="Palatino Linotype" w:hAnsi="Palatino Linotype"/>
                <w:sz w:val="14"/>
                <w:szCs w:val="14"/>
              </w:rPr>
              <w:t>SERVPub</w:t>
            </w:r>
            <w:proofErr w:type="spellEnd"/>
            <w:r>
              <w:rPr>
                <w:rFonts w:ascii="Palatino Linotype" w:hAnsi="Palatino Linotype"/>
                <w:sz w:val="14"/>
                <w:szCs w:val="14"/>
              </w:rPr>
              <w:t xml:space="preserve"> </w:t>
            </w:r>
          </w:p>
          <w:p w:rsidR="005A1572" w:rsidRDefault="005A1572" w:rsidP="000309DB">
            <w:pPr>
              <w:ind w:left="24" w:right="8"/>
              <w:jc w:val="center"/>
              <w:rPr>
                <w:rFonts w:ascii="Palatino Linotype" w:hAnsi="Palatino Linotype"/>
                <w:sz w:val="14"/>
                <w:szCs w:val="14"/>
              </w:rPr>
            </w:pPr>
            <w:r>
              <w:rPr>
                <w:rFonts w:ascii="Palatino Linotype" w:hAnsi="Palatino Linotype"/>
                <w:sz w:val="14"/>
                <w:szCs w:val="14"/>
              </w:rPr>
              <w:t>(</w:t>
            </w:r>
            <w:r w:rsidR="000309DB">
              <w:rPr>
                <w:rFonts w:ascii="Palatino Linotype" w:hAnsi="Palatino Linotype"/>
                <w:sz w:val="14"/>
                <w:szCs w:val="14"/>
              </w:rPr>
              <w:t>4,28</w:t>
            </w:r>
            <w:r>
              <w:rPr>
                <w:rFonts w:ascii="Palatino Linotype" w:hAnsi="Palatino Linotype"/>
                <w:sz w:val="14"/>
                <w:szCs w:val="14"/>
              </w:rPr>
              <w:t>%)</w:t>
            </w:r>
          </w:p>
        </w:tc>
        <w:tc>
          <w:tcPr>
            <w:tcW w:w="1800" w:type="dxa"/>
            <w:tcBorders>
              <w:top w:val="single" w:sz="4" w:space="0" w:color="auto"/>
              <w:left w:val="single" w:sz="4" w:space="0" w:color="auto"/>
              <w:bottom w:val="single" w:sz="4" w:space="0" w:color="auto"/>
              <w:right w:val="single" w:sz="4" w:space="0" w:color="auto"/>
            </w:tcBorders>
            <w:vAlign w:val="center"/>
          </w:tcPr>
          <w:p w:rsidR="005A1572" w:rsidRDefault="005A1572" w:rsidP="005E792D">
            <w:pPr>
              <w:snapToGrid w:val="0"/>
              <w:ind w:left="24" w:right="8"/>
              <w:jc w:val="center"/>
              <w:rPr>
                <w:rFonts w:ascii="Palatino Linotype" w:hAnsi="Palatino Linotype"/>
                <w:sz w:val="14"/>
                <w:szCs w:val="14"/>
              </w:rPr>
            </w:pPr>
            <w:r>
              <w:rPr>
                <w:rFonts w:ascii="Palatino Linotype" w:hAnsi="Palatino Linotype"/>
                <w:sz w:val="14"/>
                <w:szCs w:val="14"/>
              </w:rPr>
              <w:t xml:space="preserve">INFLACIÓN RESIDUAL (4+5+6) </w:t>
            </w:r>
          </w:p>
          <w:p w:rsidR="005A1572" w:rsidRDefault="005A1572" w:rsidP="000309DB">
            <w:pPr>
              <w:snapToGrid w:val="0"/>
              <w:ind w:left="24" w:right="8"/>
              <w:jc w:val="center"/>
              <w:rPr>
                <w:rFonts w:ascii="Palatino Linotype" w:hAnsi="Palatino Linotype"/>
                <w:sz w:val="14"/>
                <w:szCs w:val="14"/>
              </w:rPr>
            </w:pPr>
            <w:r>
              <w:rPr>
                <w:rFonts w:ascii="Palatino Linotype" w:hAnsi="Palatino Linotype"/>
                <w:sz w:val="14"/>
                <w:szCs w:val="14"/>
              </w:rPr>
              <w:t>(</w:t>
            </w:r>
            <w:r w:rsidR="000309DB">
              <w:rPr>
                <w:rFonts w:ascii="Palatino Linotype" w:hAnsi="Palatino Linotype"/>
                <w:sz w:val="14"/>
                <w:szCs w:val="14"/>
              </w:rPr>
              <w:t>24,73</w:t>
            </w:r>
            <w:r>
              <w:rPr>
                <w:rFonts w:ascii="Palatino Linotype" w:hAnsi="Palatino Linotype"/>
                <w:sz w:val="14"/>
                <w:szCs w:val="14"/>
              </w:rPr>
              <w:t>%)</w:t>
            </w:r>
          </w:p>
        </w:tc>
        <w:tc>
          <w:tcPr>
            <w:tcW w:w="1690" w:type="dxa"/>
            <w:tcBorders>
              <w:top w:val="single" w:sz="4" w:space="0" w:color="auto"/>
              <w:left w:val="single" w:sz="4" w:space="0" w:color="auto"/>
              <w:bottom w:val="single" w:sz="4" w:space="0" w:color="auto"/>
              <w:right w:val="single" w:sz="4" w:space="0" w:color="auto"/>
            </w:tcBorders>
            <w:vAlign w:val="center"/>
          </w:tcPr>
          <w:p w:rsidR="005A1572" w:rsidRDefault="005A1572" w:rsidP="005E792D">
            <w:pPr>
              <w:snapToGrid w:val="0"/>
              <w:ind w:left="24" w:right="8"/>
              <w:jc w:val="center"/>
              <w:rPr>
                <w:rFonts w:ascii="Palatino Linotype" w:hAnsi="Palatino Linotype"/>
                <w:sz w:val="14"/>
                <w:szCs w:val="14"/>
              </w:rPr>
            </w:pPr>
          </w:p>
          <w:p w:rsidR="005A1572" w:rsidRDefault="005A1572" w:rsidP="005E792D">
            <w:pPr>
              <w:snapToGrid w:val="0"/>
              <w:ind w:left="24" w:right="8"/>
              <w:jc w:val="center"/>
              <w:rPr>
                <w:rFonts w:ascii="Palatino Linotype" w:hAnsi="Palatino Linotype"/>
                <w:sz w:val="14"/>
                <w:szCs w:val="14"/>
              </w:rPr>
            </w:pPr>
            <w:r>
              <w:rPr>
                <w:rFonts w:ascii="Palatino Linotype" w:hAnsi="Palatino Linotype"/>
                <w:sz w:val="14"/>
                <w:szCs w:val="14"/>
              </w:rPr>
              <w:t xml:space="preserve">INFLACIÓN IPC </w:t>
            </w:r>
          </w:p>
          <w:p w:rsidR="005A1572" w:rsidRDefault="005A1572" w:rsidP="005E792D">
            <w:pPr>
              <w:snapToGrid w:val="0"/>
              <w:ind w:left="24" w:right="8"/>
              <w:jc w:val="center"/>
              <w:rPr>
                <w:rFonts w:ascii="Palatino Linotype" w:hAnsi="Palatino Linotype"/>
                <w:sz w:val="14"/>
                <w:szCs w:val="14"/>
              </w:rPr>
            </w:pPr>
            <w:r>
              <w:rPr>
                <w:rFonts w:ascii="Palatino Linotype" w:hAnsi="Palatino Linotype"/>
                <w:sz w:val="14"/>
                <w:szCs w:val="14"/>
              </w:rPr>
              <w:t>(100%)</w:t>
            </w:r>
          </w:p>
        </w:tc>
      </w:tr>
      <w:tr w:rsidR="00B35F2B" w:rsidTr="004A4F2B">
        <w:trPr>
          <w:trHeight w:val="284"/>
          <w:jc w:val="center"/>
        </w:trPr>
        <w:tc>
          <w:tcPr>
            <w:tcW w:w="2100" w:type="dxa"/>
            <w:tcBorders>
              <w:left w:val="single" w:sz="4" w:space="0" w:color="auto"/>
            </w:tcBorders>
            <w:vAlign w:val="center"/>
          </w:tcPr>
          <w:p w:rsidR="00B35F2B" w:rsidRPr="00E007C2" w:rsidRDefault="00B35F2B" w:rsidP="00D74665">
            <w:pPr>
              <w:snapToGrid w:val="0"/>
              <w:ind w:left="24" w:right="8"/>
              <w:jc w:val="center"/>
              <w:rPr>
                <w:rFonts w:ascii="Palatino Linotype" w:hAnsi="Palatino Linotype"/>
                <w:i/>
                <w:sz w:val="14"/>
                <w:szCs w:val="14"/>
                <w:lang w:val="en-GB"/>
              </w:rPr>
            </w:pPr>
            <w:proofErr w:type="spellStart"/>
            <w:r w:rsidRPr="00E007C2">
              <w:rPr>
                <w:rFonts w:ascii="Palatino Linotype" w:hAnsi="Palatino Linotype"/>
                <w:i/>
                <w:sz w:val="14"/>
                <w:szCs w:val="14"/>
                <w:lang w:val="en-GB"/>
              </w:rPr>
              <w:t>Dic</w:t>
            </w:r>
            <w:proofErr w:type="spellEnd"/>
            <w:r w:rsidRPr="00E007C2">
              <w:rPr>
                <w:rFonts w:ascii="Palatino Linotype" w:hAnsi="Palatino Linotype"/>
                <w:i/>
                <w:sz w:val="14"/>
                <w:szCs w:val="14"/>
                <w:lang w:val="en-GB"/>
              </w:rPr>
              <w:t xml:space="preserve"> 2012/ </w:t>
            </w:r>
            <w:proofErr w:type="spellStart"/>
            <w:r w:rsidRPr="00E007C2">
              <w:rPr>
                <w:rFonts w:ascii="Palatino Linotype" w:hAnsi="Palatino Linotype"/>
                <w:i/>
                <w:sz w:val="14"/>
                <w:szCs w:val="14"/>
                <w:lang w:val="en-GB"/>
              </w:rPr>
              <w:t>Dic</w:t>
            </w:r>
            <w:proofErr w:type="spellEnd"/>
            <w:r w:rsidRPr="00E007C2">
              <w:rPr>
                <w:rFonts w:ascii="Palatino Linotype" w:hAnsi="Palatino Linotype"/>
                <w:i/>
                <w:sz w:val="14"/>
                <w:szCs w:val="14"/>
                <w:lang w:val="en-GB"/>
              </w:rPr>
              <w:t xml:space="preserve"> 2011</w:t>
            </w:r>
          </w:p>
        </w:tc>
        <w:tc>
          <w:tcPr>
            <w:tcW w:w="1105"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6.23</w:t>
            </w:r>
          </w:p>
        </w:tc>
        <w:tc>
          <w:tcPr>
            <w:tcW w:w="963"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9.57</w:t>
            </w:r>
          </w:p>
        </w:tc>
        <w:tc>
          <w:tcPr>
            <w:tcW w:w="1090"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8.68</w:t>
            </w:r>
          </w:p>
        </w:tc>
        <w:tc>
          <w:tcPr>
            <w:tcW w:w="2021"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7.88</w:t>
            </w:r>
          </w:p>
        </w:tc>
        <w:tc>
          <w:tcPr>
            <w:tcW w:w="1137"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13.15</w:t>
            </w:r>
          </w:p>
        </w:tc>
        <w:tc>
          <w:tcPr>
            <w:tcW w:w="1216"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-1.35</w:t>
            </w:r>
          </w:p>
        </w:tc>
        <w:tc>
          <w:tcPr>
            <w:tcW w:w="1121"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1.92</w:t>
            </w:r>
          </w:p>
        </w:tc>
        <w:tc>
          <w:tcPr>
            <w:tcW w:w="1800"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6.23</w:t>
            </w:r>
          </w:p>
        </w:tc>
        <w:tc>
          <w:tcPr>
            <w:tcW w:w="1690" w:type="dxa"/>
            <w:tcBorders>
              <w:right w:val="single" w:sz="4" w:space="0" w:color="auto"/>
            </w:tcBorders>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7.48</w:t>
            </w:r>
          </w:p>
        </w:tc>
      </w:tr>
      <w:tr w:rsidR="00B35F2B" w:rsidTr="004A4F2B">
        <w:trPr>
          <w:trHeight w:val="284"/>
          <w:jc w:val="center"/>
        </w:trPr>
        <w:tc>
          <w:tcPr>
            <w:tcW w:w="2100" w:type="dxa"/>
            <w:tcBorders>
              <w:left w:val="single" w:sz="4" w:space="0" w:color="auto"/>
            </w:tcBorders>
            <w:vAlign w:val="center"/>
          </w:tcPr>
          <w:p w:rsidR="00B35F2B" w:rsidRPr="00B611AB" w:rsidRDefault="00B35F2B" w:rsidP="00D74665">
            <w:pPr>
              <w:snapToGrid w:val="0"/>
              <w:ind w:left="24" w:right="8"/>
              <w:jc w:val="center"/>
              <w:rPr>
                <w:rFonts w:ascii="Palatino Linotype" w:hAnsi="Palatino Linotype"/>
                <w:i/>
                <w:sz w:val="14"/>
                <w:szCs w:val="14"/>
                <w:lang w:val="en-GB"/>
              </w:rPr>
            </w:pPr>
            <w:proofErr w:type="spellStart"/>
            <w:r w:rsidRPr="00B611AB">
              <w:rPr>
                <w:rFonts w:ascii="Palatino Linotype" w:hAnsi="Palatino Linotype"/>
                <w:i/>
                <w:sz w:val="14"/>
                <w:szCs w:val="14"/>
                <w:lang w:val="en-GB"/>
              </w:rPr>
              <w:t>Dic</w:t>
            </w:r>
            <w:proofErr w:type="spellEnd"/>
            <w:r w:rsidRPr="00B611AB">
              <w:rPr>
                <w:rFonts w:ascii="Palatino Linotype" w:hAnsi="Palatino Linotype"/>
                <w:i/>
                <w:sz w:val="14"/>
                <w:szCs w:val="14"/>
                <w:lang w:val="en-GB"/>
              </w:rPr>
              <w:t xml:space="preserve"> 2013/ </w:t>
            </w:r>
            <w:proofErr w:type="spellStart"/>
            <w:r w:rsidRPr="00B611AB">
              <w:rPr>
                <w:rFonts w:ascii="Palatino Linotype" w:hAnsi="Palatino Linotype"/>
                <w:i/>
                <w:sz w:val="14"/>
                <w:szCs w:val="14"/>
                <w:lang w:val="en-GB"/>
              </w:rPr>
              <w:t>Dic</w:t>
            </w:r>
            <w:proofErr w:type="spellEnd"/>
            <w:r w:rsidRPr="00B611AB">
              <w:rPr>
                <w:rFonts w:ascii="Palatino Linotype" w:hAnsi="Palatino Linotype"/>
                <w:i/>
                <w:sz w:val="14"/>
                <w:szCs w:val="14"/>
                <w:lang w:val="en-GB"/>
              </w:rPr>
              <w:t xml:space="preserve"> 2012</w:t>
            </w:r>
          </w:p>
        </w:tc>
        <w:tc>
          <w:tcPr>
            <w:tcW w:w="1105"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8.14</w:t>
            </w:r>
          </w:p>
        </w:tc>
        <w:tc>
          <w:tcPr>
            <w:tcW w:w="963"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10.56</w:t>
            </w:r>
          </w:p>
        </w:tc>
        <w:tc>
          <w:tcPr>
            <w:tcW w:w="1090"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11.06</w:t>
            </w:r>
          </w:p>
        </w:tc>
        <w:tc>
          <w:tcPr>
            <w:tcW w:w="2021"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9.48</w:t>
            </w:r>
          </w:p>
        </w:tc>
        <w:tc>
          <w:tcPr>
            <w:tcW w:w="1137"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6.18</w:t>
            </w:r>
          </w:p>
        </w:tc>
        <w:tc>
          <w:tcPr>
            <w:tcW w:w="1216"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5.98</w:t>
            </w:r>
          </w:p>
        </w:tc>
        <w:tc>
          <w:tcPr>
            <w:tcW w:w="1121"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2.56</w:t>
            </w:r>
          </w:p>
        </w:tc>
        <w:tc>
          <w:tcPr>
            <w:tcW w:w="1800"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5.54</w:t>
            </w:r>
          </w:p>
        </w:tc>
        <w:tc>
          <w:tcPr>
            <w:tcW w:w="1690" w:type="dxa"/>
            <w:tcBorders>
              <w:right w:val="single" w:sz="4" w:space="0" w:color="auto"/>
            </w:tcBorders>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8.52</w:t>
            </w:r>
          </w:p>
        </w:tc>
      </w:tr>
      <w:tr w:rsidR="00B35F2B" w:rsidTr="004A4F2B">
        <w:trPr>
          <w:trHeight w:val="315"/>
          <w:jc w:val="center"/>
        </w:trPr>
        <w:tc>
          <w:tcPr>
            <w:tcW w:w="2100" w:type="dxa"/>
            <w:tcBorders>
              <w:left w:val="single" w:sz="4" w:space="0" w:color="auto"/>
            </w:tcBorders>
            <w:shd w:val="clear" w:color="auto" w:fill="auto"/>
            <w:vAlign w:val="center"/>
          </w:tcPr>
          <w:p w:rsidR="00B35F2B" w:rsidRPr="00D44554" w:rsidRDefault="00B35F2B" w:rsidP="00D74665">
            <w:pPr>
              <w:snapToGrid w:val="0"/>
              <w:ind w:left="24" w:right="8"/>
              <w:jc w:val="center"/>
              <w:rPr>
                <w:rFonts w:ascii="Palatino Linotype" w:hAnsi="Palatino Linotype"/>
                <w:i/>
                <w:sz w:val="14"/>
                <w:szCs w:val="14"/>
                <w:lang w:val="en-GB"/>
              </w:rPr>
            </w:pPr>
            <w:proofErr w:type="spellStart"/>
            <w:r w:rsidRPr="00D44554">
              <w:rPr>
                <w:rFonts w:ascii="Palatino Linotype" w:hAnsi="Palatino Linotype"/>
                <w:i/>
                <w:sz w:val="14"/>
                <w:szCs w:val="14"/>
                <w:lang w:val="en-GB"/>
              </w:rPr>
              <w:t>Dic</w:t>
            </w:r>
            <w:proofErr w:type="spellEnd"/>
            <w:r w:rsidRPr="00D44554">
              <w:rPr>
                <w:rFonts w:ascii="Palatino Linotype" w:hAnsi="Palatino Linotype"/>
                <w:i/>
                <w:sz w:val="14"/>
                <w:szCs w:val="14"/>
                <w:lang w:val="en-GB"/>
              </w:rPr>
              <w:t xml:space="preserve"> 2014/ </w:t>
            </w:r>
            <w:proofErr w:type="spellStart"/>
            <w:r w:rsidRPr="00D44554">
              <w:rPr>
                <w:rFonts w:ascii="Palatino Linotype" w:hAnsi="Palatino Linotype"/>
                <w:i/>
                <w:sz w:val="14"/>
                <w:szCs w:val="14"/>
                <w:lang w:val="en-GB"/>
              </w:rPr>
              <w:t>Dic</w:t>
            </w:r>
            <w:proofErr w:type="spellEnd"/>
            <w:r w:rsidRPr="00D44554">
              <w:rPr>
                <w:rFonts w:ascii="Palatino Linotype" w:hAnsi="Palatino Linotype"/>
                <w:i/>
                <w:sz w:val="14"/>
                <w:szCs w:val="14"/>
                <w:lang w:val="en-GB"/>
              </w:rPr>
              <w:t xml:space="preserve"> 2013</w:t>
            </w:r>
          </w:p>
        </w:tc>
        <w:tc>
          <w:tcPr>
            <w:tcW w:w="1105"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8.17</w:t>
            </w:r>
          </w:p>
        </w:tc>
        <w:tc>
          <w:tcPr>
            <w:tcW w:w="963"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10.48</w:t>
            </w:r>
          </w:p>
        </w:tc>
        <w:tc>
          <w:tcPr>
            <w:tcW w:w="1090"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3.90</w:t>
            </w:r>
          </w:p>
        </w:tc>
        <w:tc>
          <w:tcPr>
            <w:tcW w:w="2021"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8.65</w:t>
            </w:r>
          </w:p>
        </w:tc>
        <w:tc>
          <w:tcPr>
            <w:tcW w:w="1137"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12.88</w:t>
            </w:r>
          </w:p>
        </w:tc>
        <w:tc>
          <w:tcPr>
            <w:tcW w:w="1216"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1.21</w:t>
            </w:r>
          </w:p>
        </w:tc>
        <w:tc>
          <w:tcPr>
            <w:tcW w:w="1121"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-0.78</w:t>
            </w:r>
          </w:p>
        </w:tc>
        <w:tc>
          <w:tcPr>
            <w:tcW w:w="1800"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6.98</w:t>
            </w:r>
          </w:p>
        </w:tc>
        <w:tc>
          <w:tcPr>
            <w:tcW w:w="1690" w:type="dxa"/>
            <w:tcBorders>
              <w:right w:val="single" w:sz="4" w:space="0" w:color="auto"/>
            </w:tcBorders>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8.26</w:t>
            </w:r>
          </w:p>
        </w:tc>
      </w:tr>
      <w:tr w:rsidR="00B35F2B" w:rsidTr="004A4F2B">
        <w:trPr>
          <w:trHeight w:val="219"/>
          <w:jc w:val="center"/>
        </w:trPr>
        <w:tc>
          <w:tcPr>
            <w:tcW w:w="2100" w:type="dxa"/>
            <w:tcBorders>
              <w:left w:val="single" w:sz="4" w:space="0" w:color="auto"/>
            </w:tcBorders>
            <w:shd w:val="clear" w:color="auto" w:fill="auto"/>
            <w:vAlign w:val="bottom"/>
          </w:tcPr>
          <w:p w:rsidR="00B35F2B" w:rsidRPr="007D5412" w:rsidRDefault="00B35F2B" w:rsidP="007D5412">
            <w:pPr>
              <w:snapToGrid w:val="0"/>
              <w:ind w:left="24" w:right="8"/>
              <w:jc w:val="center"/>
              <w:rPr>
                <w:rFonts w:ascii="Palatino Linotype" w:hAnsi="Palatino Linotype"/>
                <w:i/>
                <w:sz w:val="14"/>
                <w:szCs w:val="14"/>
                <w:lang w:val="en-GB"/>
              </w:rPr>
            </w:pPr>
            <w:r w:rsidRPr="007D5412">
              <w:rPr>
                <w:rFonts w:ascii="Palatino Linotype" w:hAnsi="Palatino Linotype"/>
                <w:i/>
                <w:sz w:val="14"/>
                <w:szCs w:val="14"/>
                <w:lang w:val="en-GB"/>
              </w:rPr>
              <w:t>Diciembre 2015/ Diciembre 2014</w:t>
            </w:r>
          </w:p>
        </w:tc>
        <w:tc>
          <w:tcPr>
            <w:tcW w:w="1105"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9.76</w:t>
            </w:r>
          </w:p>
        </w:tc>
        <w:tc>
          <w:tcPr>
            <w:tcW w:w="963"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10.68</w:t>
            </w:r>
          </w:p>
        </w:tc>
        <w:tc>
          <w:tcPr>
            <w:tcW w:w="1090"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9.06</w:t>
            </w:r>
          </w:p>
        </w:tc>
        <w:tc>
          <w:tcPr>
            <w:tcW w:w="2021"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10.07</w:t>
            </w:r>
          </w:p>
        </w:tc>
        <w:tc>
          <w:tcPr>
            <w:tcW w:w="1137"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9.51</w:t>
            </w:r>
          </w:p>
        </w:tc>
        <w:tc>
          <w:tcPr>
            <w:tcW w:w="1216"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5.31</w:t>
            </w:r>
          </w:p>
        </w:tc>
        <w:tc>
          <w:tcPr>
            <w:tcW w:w="1121"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3.40</w:t>
            </w:r>
          </w:p>
        </w:tc>
        <w:tc>
          <w:tcPr>
            <w:tcW w:w="1800"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7.35</w:t>
            </w:r>
          </w:p>
        </w:tc>
        <w:tc>
          <w:tcPr>
            <w:tcW w:w="1690" w:type="dxa"/>
            <w:tcBorders>
              <w:right w:val="single" w:sz="4" w:space="0" w:color="auto"/>
            </w:tcBorders>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9.44</w:t>
            </w:r>
          </w:p>
        </w:tc>
      </w:tr>
      <w:tr w:rsidR="00B35F2B" w:rsidTr="004A4F2B">
        <w:trPr>
          <w:trHeight w:val="279"/>
          <w:jc w:val="center"/>
        </w:trPr>
        <w:tc>
          <w:tcPr>
            <w:tcW w:w="2100" w:type="dxa"/>
            <w:tcBorders>
              <w:left w:val="single" w:sz="4" w:space="0" w:color="auto"/>
            </w:tcBorders>
            <w:shd w:val="clear" w:color="auto" w:fill="D9D9D9"/>
            <w:vAlign w:val="bottom"/>
          </w:tcPr>
          <w:p w:rsidR="00B35F2B" w:rsidRPr="007D5412" w:rsidRDefault="00B35F2B" w:rsidP="007D5412">
            <w:pPr>
              <w:snapToGrid w:val="0"/>
              <w:ind w:left="24" w:right="8"/>
              <w:jc w:val="center"/>
              <w:rPr>
                <w:rFonts w:ascii="Palatino Linotype" w:hAnsi="Palatino Linotype"/>
                <w:i/>
                <w:sz w:val="14"/>
                <w:szCs w:val="14"/>
                <w:lang w:val="en-GB"/>
              </w:rPr>
            </w:pPr>
            <w:r w:rsidRPr="007D5412">
              <w:rPr>
                <w:rFonts w:ascii="Palatino Linotype" w:hAnsi="Palatino Linotype"/>
                <w:i/>
                <w:sz w:val="14"/>
                <w:szCs w:val="14"/>
                <w:lang w:val="en-GB"/>
              </w:rPr>
              <w:t>Diciembre 2016/ Diciembre 2015</w:t>
            </w:r>
          </w:p>
        </w:tc>
        <w:tc>
          <w:tcPr>
            <w:tcW w:w="1105"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8.87</w:t>
            </w:r>
          </w:p>
        </w:tc>
        <w:tc>
          <w:tcPr>
            <w:tcW w:w="963"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10.37</w:t>
            </w:r>
          </w:p>
        </w:tc>
        <w:tc>
          <w:tcPr>
            <w:tcW w:w="1090"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9.98</w:t>
            </w:r>
          </w:p>
        </w:tc>
        <w:tc>
          <w:tcPr>
            <w:tcW w:w="2021"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9.64</w:t>
            </w:r>
          </w:p>
        </w:tc>
        <w:tc>
          <w:tcPr>
            <w:tcW w:w="1137"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12.92</w:t>
            </w:r>
          </w:p>
        </w:tc>
        <w:tc>
          <w:tcPr>
            <w:tcW w:w="1216"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5.16</w:t>
            </w:r>
          </w:p>
        </w:tc>
        <w:tc>
          <w:tcPr>
            <w:tcW w:w="1121"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7.66</w:t>
            </w:r>
          </w:p>
        </w:tc>
        <w:tc>
          <w:tcPr>
            <w:tcW w:w="1800"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9.85</w:t>
            </w:r>
          </w:p>
        </w:tc>
        <w:tc>
          <w:tcPr>
            <w:tcW w:w="1690" w:type="dxa"/>
            <w:tcBorders>
              <w:right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9.69</w:t>
            </w:r>
          </w:p>
        </w:tc>
      </w:tr>
      <w:tr w:rsidR="00B35F2B" w:rsidTr="004A4F2B">
        <w:trPr>
          <w:trHeight w:val="279"/>
          <w:jc w:val="center"/>
        </w:trPr>
        <w:tc>
          <w:tcPr>
            <w:tcW w:w="2100" w:type="dxa"/>
            <w:tcBorders>
              <w:left w:val="single" w:sz="4" w:space="0" w:color="auto"/>
              <w:bottom w:val="single" w:sz="4" w:space="0" w:color="auto"/>
            </w:tcBorders>
            <w:shd w:val="clear" w:color="auto" w:fill="D9D9D9"/>
            <w:vAlign w:val="bottom"/>
          </w:tcPr>
          <w:p w:rsidR="00B35F2B" w:rsidRPr="007D5412" w:rsidRDefault="00B35F2B" w:rsidP="00B633C5">
            <w:pPr>
              <w:snapToGrid w:val="0"/>
              <w:ind w:left="24" w:right="8"/>
              <w:jc w:val="center"/>
              <w:rPr>
                <w:rFonts w:ascii="Palatino Linotype" w:hAnsi="Palatino Linotype"/>
                <w:i/>
                <w:sz w:val="14"/>
                <w:szCs w:val="14"/>
                <w:lang w:val="en-GB"/>
              </w:rPr>
            </w:pPr>
            <w:r w:rsidRPr="007D5412">
              <w:rPr>
                <w:rFonts w:ascii="Palatino Linotype" w:hAnsi="Palatino Linotype"/>
                <w:i/>
                <w:sz w:val="14"/>
                <w:szCs w:val="14"/>
                <w:lang w:val="en-GB"/>
              </w:rPr>
              <w:t>Diciembre 2017/ Diciembre 201</w:t>
            </w:r>
            <w:r>
              <w:rPr>
                <w:rFonts w:ascii="Palatino Linotype" w:hAnsi="Palatino Linotype"/>
                <w:i/>
                <w:sz w:val="14"/>
                <w:szCs w:val="14"/>
                <w:lang w:val="en-GB"/>
              </w:rPr>
              <w:t>6</w:t>
            </w:r>
          </w:p>
        </w:tc>
        <w:tc>
          <w:tcPr>
            <w:tcW w:w="1105"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9.61</w:t>
            </w:r>
          </w:p>
        </w:tc>
        <w:tc>
          <w:tcPr>
            <w:tcW w:w="963"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10.84</w:t>
            </w:r>
          </w:p>
        </w:tc>
        <w:tc>
          <w:tcPr>
            <w:tcW w:w="1090"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11.77</w:t>
            </w:r>
          </w:p>
        </w:tc>
        <w:tc>
          <w:tcPr>
            <w:tcW w:w="2021"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10.38</w:t>
            </w:r>
          </w:p>
        </w:tc>
        <w:tc>
          <w:tcPr>
            <w:tcW w:w="1137"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10.44</w:t>
            </w:r>
          </w:p>
        </w:tc>
        <w:tc>
          <w:tcPr>
            <w:tcW w:w="1216"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7.05</w:t>
            </w:r>
          </w:p>
        </w:tc>
        <w:tc>
          <w:tcPr>
            <w:tcW w:w="1121"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7.48</w:t>
            </w:r>
          </w:p>
        </w:tc>
        <w:tc>
          <w:tcPr>
            <w:tcW w:w="1800"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9.06</w:t>
            </w:r>
          </w:p>
        </w:tc>
        <w:tc>
          <w:tcPr>
            <w:tcW w:w="1690" w:type="dxa"/>
            <w:tcBorders>
              <w:bottom w:val="single" w:sz="4" w:space="0" w:color="auto"/>
              <w:right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10.08</w:t>
            </w:r>
          </w:p>
        </w:tc>
      </w:tr>
      <w:tr w:rsidR="00017D00" w:rsidTr="00DA37F0">
        <w:trPr>
          <w:trHeight w:val="76"/>
          <w:jc w:val="center"/>
        </w:trPr>
        <w:tc>
          <w:tcPr>
            <w:tcW w:w="2100" w:type="dxa"/>
            <w:tcBorders>
              <w:top w:val="single" w:sz="4" w:space="0" w:color="auto"/>
              <w:left w:val="single" w:sz="4" w:space="0" w:color="auto"/>
              <w:bottom w:val="single" w:sz="4" w:space="0" w:color="auto"/>
            </w:tcBorders>
            <w:vAlign w:val="bottom"/>
          </w:tcPr>
          <w:p w:rsidR="00017D00" w:rsidRDefault="00017D00" w:rsidP="005E792D">
            <w:pPr>
              <w:snapToGrid w:val="0"/>
              <w:ind w:left="24" w:right="8"/>
              <w:jc w:val="center"/>
              <w:rPr>
                <w:rFonts w:ascii="Palatino Linotype" w:hAnsi="Palatino Linotype"/>
                <w:i/>
                <w:sz w:val="14"/>
                <w:szCs w:val="14"/>
                <w:lang w:val="en-GB"/>
              </w:rPr>
            </w:pPr>
          </w:p>
        </w:tc>
        <w:tc>
          <w:tcPr>
            <w:tcW w:w="1105" w:type="dxa"/>
            <w:tcBorders>
              <w:top w:val="single" w:sz="4" w:space="0" w:color="auto"/>
              <w:bottom w:val="single" w:sz="4" w:space="0" w:color="auto"/>
            </w:tcBorders>
            <w:vAlign w:val="bottom"/>
          </w:tcPr>
          <w:p w:rsidR="00017D00" w:rsidRPr="00141D2B" w:rsidRDefault="00017D00" w:rsidP="005E792D">
            <w:pPr>
              <w:snapToGrid w:val="0"/>
              <w:ind w:left="24" w:right="8"/>
              <w:jc w:val="center"/>
              <w:rPr>
                <w:rFonts w:ascii="Palatino Linotype" w:hAnsi="Palatino Linotype" w:cs="Arial"/>
                <w:i/>
                <w:iCs/>
                <w:sz w:val="14"/>
                <w:szCs w:val="14"/>
                <w:highlight w:val="yellow"/>
              </w:rPr>
            </w:pPr>
          </w:p>
        </w:tc>
        <w:tc>
          <w:tcPr>
            <w:tcW w:w="963" w:type="dxa"/>
            <w:tcBorders>
              <w:top w:val="single" w:sz="4" w:space="0" w:color="auto"/>
              <w:bottom w:val="single" w:sz="4" w:space="0" w:color="auto"/>
            </w:tcBorders>
            <w:vAlign w:val="bottom"/>
          </w:tcPr>
          <w:p w:rsidR="00017D00" w:rsidRPr="00141D2B" w:rsidRDefault="00017D00" w:rsidP="005E792D">
            <w:pPr>
              <w:snapToGrid w:val="0"/>
              <w:ind w:left="24" w:right="8"/>
              <w:jc w:val="center"/>
              <w:rPr>
                <w:rFonts w:ascii="Palatino Linotype" w:hAnsi="Palatino Linotype" w:cs="Arial"/>
                <w:i/>
                <w:iCs/>
                <w:sz w:val="14"/>
                <w:szCs w:val="14"/>
                <w:highlight w:val="yellow"/>
              </w:rPr>
            </w:pPr>
          </w:p>
        </w:tc>
        <w:tc>
          <w:tcPr>
            <w:tcW w:w="1090" w:type="dxa"/>
            <w:tcBorders>
              <w:top w:val="single" w:sz="4" w:space="0" w:color="auto"/>
              <w:bottom w:val="single" w:sz="4" w:space="0" w:color="auto"/>
            </w:tcBorders>
            <w:vAlign w:val="bottom"/>
          </w:tcPr>
          <w:p w:rsidR="00017D00" w:rsidRPr="00141D2B" w:rsidRDefault="00017D00" w:rsidP="005E792D">
            <w:pPr>
              <w:snapToGrid w:val="0"/>
              <w:ind w:left="24" w:right="8"/>
              <w:jc w:val="center"/>
              <w:rPr>
                <w:rFonts w:ascii="Palatino Linotype" w:hAnsi="Palatino Linotype" w:cs="Arial"/>
                <w:i/>
                <w:iCs/>
                <w:sz w:val="14"/>
                <w:szCs w:val="14"/>
                <w:highlight w:val="yellow"/>
              </w:rPr>
            </w:pPr>
          </w:p>
        </w:tc>
        <w:tc>
          <w:tcPr>
            <w:tcW w:w="2021" w:type="dxa"/>
            <w:tcBorders>
              <w:top w:val="single" w:sz="4" w:space="0" w:color="auto"/>
              <w:bottom w:val="single" w:sz="4" w:space="0" w:color="auto"/>
            </w:tcBorders>
            <w:vAlign w:val="bottom"/>
          </w:tcPr>
          <w:p w:rsidR="00017D00" w:rsidRPr="00141D2B" w:rsidRDefault="00017D00" w:rsidP="005E792D">
            <w:pPr>
              <w:snapToGrid w:val="0"/>
              <w:ind w:left="24" w:right="8"/>
              <w:jc w:val="center"/>
              <w:rPr>
                <w:rFonts w:ascii="Palatino Linotype" w:hAnsi="Palatino Linotype" w:cs="Arial"/>
                <w:i/>
                <w:iCs/>
                <w:sz w:val="14"/>
                <w:szCs w:val="14"/>
                <w:highlight w:val="yellow"/>
              </w:rPr>
            </w:pPr>
          </w:p>
        </w:tc>
        <w:tc>
          <w:tcPr>
            <w:tcW w:w="1137" w:type="dxa"/>
            <w:tcBorders>
              <w:top w:val="single" w:sz="4" w:space="0" w:color="auto"/>
              <w:bottom w:val="single" w:sz="4" w:space="0" w:color="auto"/>
            </w:tcBorders>
            <w:vAlign w:val="bottom"/>
          </w:tcPr>
          <w:p w:rsidR="00017D00" w:rsidRPr="00141D2B" w:rsidRDefault="00017D00" w:rsidP="005E792D">
            <w:pPr>
              <w:snapToGrid w:val="0"/>
              <w:ind w:left="24" w:right="8"/>
              <w:jc w:val="center"/>
              <w:rPr>
                <w:rFonts w:ascii="Palatino Linotype" w:hAnsi="Palatino Linotype" w:cs="Arial"/>
                <w:i/>
                <w:iCs/>
                <w:sz w:val="14"/>
                <w:szCs w:val="14"/>
                <w:highlight w:val="yellow"/>
              </w:rPr>
            </w:pPr>
          </w:p>
        </w:tc>
        <w:tc>
          <w:tcPr>
            <w:tcW w:w="1216" w:type="dxa"/>
            <w:tcBorders>
              <w:top w:val="single" w:sz="4" w:space="0" w:color="auto"/>
              <w:bottom w:val="single" w:sz="4" w:space="0" w:color="auto"/>
            </w:tcBorders>
            <w:vAlign w:val="bottom"/>
          </w:tcPr>
          <w:p w:rsidR="00017D00" w:rsidRPr="00141D2B" w:rsidRDefault="00017D00" w:rsidP="005E792D">
            <w:pPr>
              <w:snapToGrid w:val="0"/>
              <w:ind w:left="24" w:right="8"/>
              <w:jc w:val="center"/>
              <w:rPr>
                <w:rFonts w:ascii="Palatino Linotype" w:hAnsi="Palatino Linotype" w:cs="Arial"/>
                <w:i/>
                <w:iCs/>
                <w:sz w:val="14"/>
                <w:szCs w:val="14"/>
                <w:highlight w:val="yellow"/>
              </w:rPr>
            </w:pPr>
          </w:p>
        </w:tc>
        <w:tc>
          <w:tcPr>
            <w:tcW w:w="1121" w:type="dxa"/>
            <w:tcBorders>
              <w:top w:val="single" w:sz="4" w:space="0" w:color="auto"/>
              <w:bottom w:val="single" w:sz="4" w:space="0" w:color="auto"/>
            </w:tcBorders>
            <w:vAlign w:val="bottom"/>
          </w:tcPr>
          <w:p w:rsidR="00017D00" w:rsidRPr="00141D2B" w:rsidRDefault="00017D00" w:rsidP="005E792D">
            <w:pPr>
              <w:snapToGrid w:val="0"/>
              <w:ind w:left="24" w:right="8"/>
              <w:jc w:val="center"/>
              <w:rPr>
                <w:rFonts w:ascii="Palatino Linotype" w:hAnsi="Palatino Linotype" w:cs="Arial"/>
                <w:i/>
                <w:iCs/>
                <w:sz w:val="14"/>
                <w:szCs w:val="14"/>
                <w:highlight w:val="yellow"/>
              </w:rPr>
            </w:pPr>
          </w:p>
        </w:tc>
        <w:tc>
          <w:tcPr>
            <w:tcW w:w="1800" w:type="dxa"/>
            <w:tcBorders>
              <w:top w:val="single" w:sz="4" w:space="0" w:color="auto"/>
              <w:bottom w:val="single" w:sz="4" w:space="0" w:color="auto"/>
            </w:tcBorders>
            <w:vAlign w:val="bottom"/>
          </w:tcPr>
          <w:p w:rsidR="00017D00" w:rsidRPr="00141D2B" w:rsidRDefault="00017D00" w:rsidP="005E792D">
            <w:pPr>
              <w:snapToGrid w:val="0"/>
              <w:ind w:left="24" w:right="8"/>
              <w:jc w:val="center"/>
              <w:rPr>
                <w:rFonts w:ascii="Palatino Linotype" w:hAnsi="Palatino Linotype" w:cs="Arial"/>
                <w:i/>
                <w:iCs/>
                <w:sz w:val="14"/>
                <w:szCs w:val="14"/>
                <w:highlight w:val="yellow"/>
              </w:rPr>
            </w:pPr>
          </w:p>
        </w:tc>
        <w:tc>
          <w:tcPr>
            <w:tcW w:w="1690" w:type="dxa"/>
            <w:tcBorders>
              <w:top w:val="single" w:sz="4" w:space="0" w:color="auto"/>
              <w:bottom w:val="single" w:sz="4" w:space="0" w:color="auto"/>
              <w:right w:val="single" w:sz="4" w:space="0" w:color="auto"/>
            </w:tcBorders>
            <w:vAlign w:val="bottom"/>
          </w:tcPr>
          <w:p w:rsidR="00017D00" w:rsidRPr="00141D2B" w:rsidRDefault="00017D00" w:rsidP="005E792D">
            <w:pPr>
              <w:snapToGrid w:val="0"/>
              <w:ind w:left="24" w:right="8"/>
              <w:jc w:val="center"/>
              <w:rPr>
                <w:rFonts w:ascii="Palatino Linotype" w:hAnsi="Palatino Linotype" w:cs="Arial"/>
                <w:i/>
                <w:iCs/>
                <w:sz w:val="14"/>
                <w:szCs w:val="14"/>
                <w:highlight w:val="yellow"/>
              </w:rPr>
            </w:pPr>
          </w:p>
        </w:tc>
      </w:tr>
      <w:tr w:rsidR="00B35F2B" w:rsidTr="004A4F2B">
        <w:trPr>
          <w:trHeight w:val="284"/>
          <w:jc w:val="center"/>
        </w:trPr>
        <w:tc>
          <w:tcPr>
            <w:tcW w:w="2100" w:type="dxa"/>
            <w:tcBorders>
              <w:top w:val="single" w:sz="4" w:space="0" w:color="auto"/>
              <w:left w:val="single" w:sz="4" w:space="0" w:color="auto"/>
            </w:tcBorders>
            <w:vAlign w:val="center"/>
          </w:tcPr>
          <w:p w:rsidR="00B35F2B" w:rsidRPr="002126D1" w:rsidRDefault="00B35F2B" w:rsidP="00D74665">
            <w:pPr>
              <w:snapToGrid w:val="0"/>
              <w:ind w:left="24" w:right="8"/>
              <w:jc w:val="center"/>
              <w:rPr>
                <w:rFonts w:ascii="Palatino Linotype" w:hAnsi="Palatino Linotype"/>
                <w:i/>
                <w:sz w:val="14"/>
                <w:szCs w:val="14"/>
                <w:lang w:val="en-GB"/>
              </w:rPr>
            </w:pPr>
            <w:r w:rsidRPr="00E007C2">
              <w:rPr>
                <w:rFonts w:ascii="Palatino Linotype" w:hAnsi="Palatino Linotype"/>
                <w:i/>
                <w:sz w:val="14"/>
                <w:szCs w:val="14"/>
                <w:lang w:val="en-GB"/>
              </w:rPr>
              <w:t>Prom 2012/ Prom 2011</w:t>
            </w:r>
          </w:p>
        </w:tc>
        <w:tc>
          <w:tcPr>
            <w:tcW w:w="1105" w:type="dxa"/>
            <w:tcBorders>
              <w:top w:val="single" w:sz="4" w:space="0" w:color="auto"/>
            </w:tcBorders>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7.56</w:t>
            </w:r>
          </w:p>
        </w:tc>
        <w:tc>
          <w:tcPr>
            <w:tcW w:w="963" w:type="dxa"/>
            <w:tcBorders>
              <w:top w:val="single" w:sz="4" w:space="0" w:color="auto"/>
            </w:tcBorders>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10.06</w:t>
            </w:r>
          </w:p>
        </w:tc>
        <w:tc>
          <w:tcPr>
            <w:tcW w:w="1090" w:type="dxa"/>
            <w:tcBorders>
              <w:top w:val="single" w:sz="4" w:space="0" w:color="auto"/>
            </w:tcBorders>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8.68</w:t>
            </w:r>
          </w:p>
        </w:tc>
        <w:tc>
          <w:tcPr>
            <w:tcW w:w="2021" w:type="dxa"/>
            <w:tcBorders>
              <w:top w:val="single" w:sz="4" w:space="0" w:color="auto"/>
            </w:tcBorders>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8.71</w:t>
            </w:r>
          </w:p>
        </w:tc>
        <w:tc>
          <w:tcPr>
            <w:tcW w:w="1137" w:type="dxa"/>
            <w:tcBorders>
              <w:top w:val="single" w:sz="4" w:space="0" w:color="auto"/>
            </w:tcBorders>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6.82</w:t>
            </w:r>
          </w:p>
        </w:tc>
        <w:tc>
          <w:tcPr>
            <w:tcW w:w="1216" w:type="dxa"/>
            <w:tcBorders>
              <w:top w:val="single" w:sz="4" w:space="0" w:color="auto"/>
            </w:tcBorders>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7.48</w:t>
            </w:r>
          </w:p>
        </w:tc>
        <w:tc>
          <w:tcPr>
            <w:tcW w:w="1121" w:type="dxa"/>
            <w:tcBorders>
              <w:top w:val="single" w:sz="4" w:space="0" w:color="auto"/>
            </w:tcBorders>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2.08</w:t>
            </w:r>
          </w:p>
        </w:tc>
        <w:tc>
          <w:tcPr>
            <w:tcW w:w="1800" w:type="dxa"/>
            <w:tcBorders>
              <w:top w:val="single" w:sz="4" w:space="0" w:color="auto"/>
            </w:tcBorders>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6.27</w:t>
            </w:r>
          </w:p>
        </w:tc>
        <w:tc>
          <w:tcPr>
            <w:tcW w:w="1690" w:type="dxa"/>
            <w:tcBorders>
              <w:top w:val="single" w:sz="4" w:space="0" w:color="auto"/>
              <w:right w:val="single" w:sz="4" w:space="0" w:color="auto"/>
            </w:tcBorders>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8.10</w:t>
            </w:r>
          </w:p>
        </w:tc>
      </w:tr>
      <w:tr w:rsidR="00B35F2B" w:rsidTr="004A4F2B">
        <w:trPr>
          <w:trHeight w:val="284"/>
          <w:jc w:val="center"/>
        </w:trPr>
        <w:tc>
          <w:tcPr>
            <w:tcW w:w="2100" w:type="dxa"/>
            <w:tcBorders>
              <w:left w:val="single" w:sz="4" w:space="0" w:color="auto"/>
            </w:tcBorders>
            <w:vAlign w:val="center"/>
          </w:tcPr>
          <w:p w:rsidR="00B35F2B" w:rsidRPr="002126D1" w:rsidRDefault="00B35F2B" w:rsidP="00D74665">
            <w:pPr>
              <w:snapToGrid w:val="0"/>
              <w:ind w:left="24" w:right="8"/>
              <w:jc w:val="center"/>
              <w:rPr>
                <w:rFonts w:ascii="Palatino Linotype" w:hAnsi="Palatino Linotype"/>
                <w:i/>
                <w:sz w:val="14"/>
                <w:szCs w:val="14"/>
                <w:lang w:val="en-GB"/>
              </w:rPr>
            </w:pPr>
            <w:r w:rsidRPr="002126D1">
              <w:rPr>
                <w:rFonts w:ascii="Palatino Linotype" w:hAnsi="Palatino Linotype"/>
                <w:i/>
                <w:sz w:val="14"/>
                <w:szCs w:val="14"/>
                <w:lang w:val="en-GB"/>
              </w:rPr>
              <w:t>Prom 2013/ Prom 2012</w:t>
            </w:r>
          </w:p>
        </w:tc>
        <w:tc>
          <w:tcPr>
            <w:tcW w:w="1105"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6.86</w:t>
            </w:r>
          </w:p>
        </w:tc>
        <w:tc>
          <w:tcPr>
            <w:tcW w:w="963"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10.16</w:t>
            </w:r>
          </w:p>
        </w:tc>
        <w:tc>
          <w:tcPr>
            <w:tcW w:w="1090"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9.64</w:t>
            </w:r>
          </w:p>
        </w:tc>
        <w:tc>
          <w:tcPr>
            <w:tcW w:w="2021"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8.54</w:t>
            </w:r>
          </w:p>
        </w:tc>
        <w:tc>
          <w:tcPr>
            <w:tcW w:w="1137"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11.52</w:t>
            </w:r>
          </w:p>
        </w:tc>
        <w:tc>
          <w:tcPr>
            <w:tcW w:w="1216"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7.78</w:t>
            </w:r>
          </w:p>
        </w:tc>
        <w:tc>
          <w:tcPr>
            <w:tcW w:w="1121"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1.88</w:t>
            </w:r>
          </w:p>
        </w:tc>
        <w:tc>
          <w:tcPr>
            <w:tcW w:w="1800" w:type="dxa"/>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8.68</w:t>
            </w:r>
          </w:p>
        </w:tc>
        <w:tc>
          <w:tcPr>
            <w:tcW w:w="1690" w:type="dxa"/>
            <w:tcBorders>
              <w:right w:val="single" w:sz="4" w:space="0" w:color="auto"/>
            </w:tcBorders>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8.58</w:t>
            </w:r>
          </w:p>
        </w:tc>
      </w:tr>
      <w:tr w:rsidR="00B35F2B" w:rsidTr="004A4F2B">
        <w:trPr>
          <w:trHeight w:val="317"/>
          <w:jc w:val="center"/>
        </w:trPr>
        <w:tc>
          <w:tcPr>
            <w:tcW w:w="2100" w:type="dxa"/>
            <w:tcBorders>
              <w:left w:val="single" w:sz="4" w:space="0" w:color="auto"/>
            </w:tcBorders>
            <w:shd w:val="clear" w:color="auto" w:fill="auto"/>
            <w:vAlign w:val="center"/>
          </w:tcPr>
          <w:p w:rsidR="00B35F2B" w:rsidRPr="002126D1" w:rsidRDefault="00B35F2B" w:rsidP="00D74665">
            <w:pPr>
              <w:snapToGrid w:val="0"/>
              <w:ind w:left="24" w:right="8"/>
              <w:jc w:val="center"/>
              <w:rPr>
                <w:rFonts w:ascii="Palatino Linotype" w:hAnsi="Palatino Linotype"/>
                <w:i/>
                <w:sz w:val="14"/>
                <w:szCs w:val="14"/>
                <w:lang w:val="en-GB"/>
              </w:rPr>
            </w:pPr>
            <w:r w:rsidRPr="002126D1">
              <w:rPr>
                <w:rFonts w:ascii="Palatino Linotype" w:hAnsi="Palatino Linotype"/>
                <w:i/>
                <w:sz w:val="14"/>
                <w:szCs w:val="14"/>
                <w:lang w:val="en-GB"/>
              </w:rPr>
              <w:t>Prom 2014/ Prom 2013</w:t>
            </w:r>
          </w:p>
        </w:tc>
        <w:tc>
          <w:tcPr>
            <w:tcW w:w="1105"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8.32</w:t>
            </w:r>
          </w:p>
        </w:tc>
        <w:tc>
          <w:tcPr>
            <w:tcW w:w="963"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10.98</w:t>
            </w:r>
          </w:p>
        </w:tc>
        <w:tc>
          <w:tcPr>
            <w:tcW w:w="1090"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7.96</w:t>
            </w:r>
          </w:p>
        </w:tc>
        <w:tc>
          <w:tcPr>
            <w:tcW w:w="2021"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9.40</w:t>
            </w:r>
          </w:p>
        </w:tc>
        <w:tc>
          <w:tcPr>
            <w:tcW w:w="1137"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10.04</w:t>
            </w:r>
          </w:p>
        </w:tc>
        <w:tc>
          <w:tcPr>
            <w:tcW w:w="1216"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6.13</w:t>
            </w:r>
          </w:p>
        </w:tc>
        <w:tc>
          <w:tcPr>
            <w:tcW w:w="1121"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0.65</w:t>
            </w:r>
          </w:p>
        </w:tc>
        <w:tc>
          <w:tcPr>
            <w:tcW w:w="1800"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7.29</w:t>
            </w:r>
          </w:p>
        </w:tc>
        <w:tc>
          <w:tcPr>
            <w:tcW w:w="1690" w:type="dxa"/>
            <w:tcBorders>
              <w:right w:val="single" w:sz="4" w:space="0" w:color="auto"/>
            </w:tcBorders>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8.88</w:t>
            </w:r>
          </w:p>
        </w:tc>
      </w:tr>
      <w:tr w:rsidR="00B35F2B" w:rsidTr="004A4F2B">
        <w:trPr>
          <w:trHeight w:val="284"/>
          <w:jc w:val="center"/>
        </w:trPr>
        <w:tc>
          <w:tcPr>
            <w:tcW w:w="2100" w:type="dxa"/>
            <w:tcBorders>
              <w:left w:val="single" w:sz="4" w:space="0" w:color="auto"/>
            </w:tcBorders>
            <w:shd w:val="clear" w:color="auto" w:fill="auto"/>
            <w:vAlign w:val="bottom"/>
          </w:tcPr>
          <w:p w:rsidR="00B35F2B" w:rsidRPr="007D5412" w:rsidRDefault="00B35F2B" w:rsidP="007D5412">
            <w:pPr>
              <w:snapToGrid w:val="0"/>
              <w:ind w:left="24" w:right="8"/>
              <w:jc w:val="center"/>
              <w:rPr>
                <w:rFonts w:ascii="Palatino Linotype" w:hAnsi="Palatino Linotype"/>
                <w:i/>
                <w:sz w:val="14"/>
                <w:szCs w:val="14"/>
                <w:lang w:val="en-GB"/>
              </w:rPr>
            </w:pPr>
            <w:proofErr w:type="spellStart"/>
            <w:r w:rsidRPr="007D5412">
              <w:rPr>
                <w:rFonts w:ascii="Palatino Linotype" w:hAnsi="Palatino Linotype"/>
                <w:i/>
                <w:sz w:val="14"/>
                <w:szCs w:val="14"/>
                <w:lang w:val="en-GB"/>
              </w:rPr>
              <w:t>Promedio</w:t>
            </w:r>
            <w:proofErr w:type="spellEnd"/>
            <w:r w:rsidRPr="007D5412">
              <w:rPr>
                <w:rFonts w:ascii="Palatino Linotype" w:hAnsi="Palatino Linotype"/>
                <w:i/>
                <w:sz w:val="14"/>
                <w:szCs w:val="14"/>
                <w:lang w:val="en-GB"/>
              </w:rPr>
              <w:t xml:space="preserve"> 2015/ </w:t>
            </w:r>
            <w:proofErr w:type="spellStart"/>
            <w:r w:rsidRPr="007D5412">
              <w:rPr>
                <w:rFonts w:ascii="Palatino Linotype" w:hAnsi="Palatino Linotype"/>
                <w:i/>
                <w:sz w:val="14"/>
                <w:szCs w:val="14"/>
                <w:lang w:val="en-GB"/>
              </w:rPr>
              <w:t>Promedio</w:t>
            </w:r>
            <w:proofErr w:type="spellEnd"/>
            <w:r w:rsidRPr="007D5412">
              <w:rPr>
                <w:rFonts w:ascii="Palatino Linotype" w:hAnsi="Palatino Linotype"/>
                <w:i/>
                <w:sz w:val="14"/>
                <w:szCs w:val="14"/>
                <w:lang w:val="en-GB"/>
              </w:rPr>
              <w:t xml:space="preserve"> 2014</w:t>
            </w:r>
          </w:p>
        </w:tc>
        <w:tc>
          <w:tcPr>
            <w:tcW w:w="1105"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9.15</w:t>
            </w:r>
          </w:p>
        </w:tc>
        <w:tc>
          <w:tcPr>
            <w:tcW w:w="963"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10.60</w:t>
            </w:r>
          </w:p>
        </w:tc>
        <w:tc>
          <w:tcPr>
            <w:tcW w:w="1090"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5.18</w:t>
            </w:r>
          </w:p>
        </w:tc>
        <w:tc>
          <w:tcPr>
            <w:tcW w:w="2021"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9.31</w:t>
            </w:r>
          </w:p>
        </w:tc>
        <w:tc>
          <w:tcPr>
            <w:tcW w:w="1137"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10.27</w:t>
            </w:r>
          </w:p>
        </w:tc>
        <w:tc>
          <w:tcPr>
            <w:tcW w:w="1216"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2.77</w:t>
            </w:r>
          </w:p>
        </w:tc>
        <w:tc>
          <w:tcPr>
            <w:tcW w:w="1121"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2.76</w:t>
            </w:r>
          </w:p>
        </w:tc>
        <w:tc>
          <w:tcPr>
            <w:tcW w:w="1800" w:type="dxa"/>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6.65</w:t>
            </w:r>
          </w:p>
        </w:tc>
        <w:tc>
          <w:tcPr>
            <w:tcW w:w="1690" w:type="dxa"/>
            <w:tcBorders>
              <w:right w:val="single" w:sz="4" w:space="0" w:color="auto"/>
            </w:tcBorders>
            <w:shd w:val="clear" w:color="auto" w:fill="auto"/>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8.67</w:t>
            </w:r>
          </w:p>
        </w:tc>
      </w:tr>
      <w:tr w:rsidR="00B35F2B" w:rsidTr="004A4F2B">
        <w:trPr>
          <w:trHeight w:val="284"/>
          <w:jc w:val="center"/>
        </w:trPr>
        <w:tc>
          <w:tcPr>
            <w:tcW w:w="2100" w:type="dxa"/>
            <w:tcBorders>
              <w:left w:val="single" w:sz="4" w:space="0" w:color="auto"/>
            </w:tcBorders>
            <w:shd w:val="clear" w:color="auto" w:fill="D9D9D9"/>
            <w:vAlign w:val="bottom"/>
          </w:tcPr>
          <w:p w:rsidR="00B35F2B" w:rsidRPr="007D5412" w:rsidRDefault="00B35F2B" w:rsidP="00151FB0">
            <w:pPr>
              <w:snapToGrid w:val="0"/>
              <w:ind w:left="24" w:right="8"/>
              <w:jc w:val="center"/>
              <w:rPr>
                <w:rFonts w:ascii="Palatino Linotype" w:hAnsi="Palatino Linotype"/>
                <w:i/>
                <w:sz w:val="14"/>
                <w:szCs w:val="14"/>
                <w:lang w:val="en-GB"/>
              </w:rPr>
            </w:pPr>
            <w:proofErr w:type="spellStart"/>
            <w:r w:rsidRPr="007D5412">
              <w:rPr>
                <w:rFonts w:ascii="Palatino Linotype" w:hAnsi="Palatino Linotype"/>
                <w:i/>
                <w:sz w:val="14"/>
                <w:szCs w:val="14"/>
                <w:lang w:val="en-GB"/>
              </w:rPr>
              <w:t>Promedio</w:t>
            </w:r>
            <w:proofErr w:type="spellEnd"/>
            <w:r w:rsidRPr="007D5412">
              <w:rPr>
                <w:rFonts w:ascii="Palatino Linotype" w:hAnsi="Palatino Linotype"/>
                <w:i/>
                <w:sz w:val="14"/>
                <w:szCs w:val="14"/>
                <w:lang w:val="en-GB"/>
              </w:rPr>
              <w:t xml:space="preserve"> 2016/ </w:t>
            </w:r>
            <w:proofErr w:type="spellStart"/>
            <w:r w:rsidRPr="007D5412">
              <w:rPr>
                <w:rFonts w:ascii="Palatino Linotype" w:hAnsi="Palatino Linotype"/>
                <w:i/>
                <w:sz w:val="14"/>
                <w:szCs w:val="14"/>
                <w:lang w:val="en-GB"/>
              </w:rPr>
              <w:t>Promedio</w:t>
            </w:r>
            <w:proofErr w:type="spellEnd"/>
            <w:r w:rsidRPr="007D5412">
              <w:rPr>
                <w:rFonts w:ascii="Palatino Linotype" w:hAnsi="Palatino Linotype"/>
                <w:i/>
                <w:sz w:val="14"/>
                <w:szCs w:val="14"/>
                <w:lang w:val="en-GB"/>
              </w:rPr>
              <w:t xml:space="preserve"> 2015</w:t>
            </w:r>
          </w:p>
        </w:tc>
        <w:tc>
          <w:tcPr>
            <w:tcW w:w="1105"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9.6</w:t>
            </w:r>
          </w:p>
        </w:tc>
        <w:tc>
          <w:tcPr>
            <w:tcW w:w="963"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10.3</w:t>
            </w:r>
          </w:p>
        </w:tc>
        <w:tc>
          <w:tcPr>
            <w:tcW w:w="1090"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10.4</w:t>
            </w:r>
          </w:p>
        </w:tc>
        <w:tc>
          <w:tcPr>
            <w:tcW w:w="2021"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10.0</w:t>
            </w:r>
          </w:p>
        </w:tc>
        <w:tc>
          <w:tcPr>
            <w:tcW w:w="1137"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12.2</w:t>
            </w:r>
          </w:p>
        </w:tc>
        <w:tc>
          <w:tcPr>
            <w:tcW w:w="1216"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6.7</w:t>
            </w:r>
          </w:p>
        </w:tc>
        <w:tc>
          <w:tcPr>
            <w:tcW w:w="1121"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7.7</w:t>
            </w:r>
          </w:p>
        </w:tc>
        <w:tc>
          <w:tcPr>
            <w:tcW w:w="1800" w:type="dxa"/>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9.8</w:t>
            </w:r>
          </w:p>
        </w:tc>
        <w:tc>
          <w:tcPr>
            <w:tcW w:w="1690" w:type="dxa"/>
            <w:tcBorders>
              <w:right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10.0</w:t>
            </w:r>
          </w:p>
        </w:tc>
      </w:tr>
      <w:tr w:rsidR="00B35F2B" w:rsidTr="004A4F2B">
        <w:trPr>
          <w:trHeight w:val="284"/>
          <w:jc w:val="center"/>
        </w:trPr>
        <w:tc>
          <w:tcPr>
            <w:tcW w:w="2100" w:type="dxa"/>
            <w:tcBorders>
              <w:left w:val="single" w:sz="4" w:space="0" w:color="auto"/>
              <w:bottom w:val="single" w:sz="4" w:space="0" w:color="auto"/>
            </w:tcBorders>
            <w:shd w:val="clear" w:color="auto" w:fill="D9D9D9"/>
            <w:vAlign w:val="bottom"/>
          </w:tcPr>
          <w:p w:rsidR="00B35F2B" w:rsidRPr="007D5412" w:rsidRDefault="00B35F2B" w:rsidP="00151FB0">
            <w:pPr>
              <w:snapToGrid w:val="0"/>
              <w:ind w:left="24" w:right="8"/>
              <w:jc w:val="center"/>
              <w:rPr>
                <w:rFonts w:ascii="Palatino Linotype" w:hAnsi="Palatino Linotype"/>
                <w:i/>
                <w:sz w:val="14"/>
                <w:szCs w:val="14"/>
                <w:lang w:val="en-GB"/>
              </w:rPr>
            </w:pPr>
            <w:proofErr w:type="spellStart"/>
            <w:r w:rsidRPr="007D5412">
              <w:rPr>
                <w:rFonts w:ascii="Palatino Linotype" w:hAnsi="Palatino Linotype"/>
                <w:i/>
                <w:sz w:val="14"/>
                <w:szCs w:val="14"/>
                <w:lang w:val="en-GB"/>
              </w:rPr>
              <w:t>Promedio</w:t>
            </w:r>
            <w:proofErr w:type="spellEnd"/>
            <w:r w:rsidRPr="007D5412">
              <w:rPr>
                <w:rFonts w:ascii="Palatino Linotype" w:hAnsi="Palatino Linotype"/>
                <w:i/>
                <w:sz w:val="14"/>
                <w:szCs w:val="14"/>
                <w:lang w:val="en-GB"/>
              </w:rPr>
              <w:t xml:space="preserve"> 2017/ </w:t>
            </w:r>
            <w:proofErr w:type="spellStart"/>
            <w:r w:rsidRPr="007D5412">
              <w:rPr>
                <w:rFonts w:ascii="Palatino Linotype" w:hAnsi="Palatino Linotype"/>
                <w:i/>
                <w:sz w:val="14"/>
                <w:szCs w:val="14"/>
                <w:lang w:val="en-GB"/>
              </w:rPr>
              <w:t>Promedio</w:t>
            </w:r>
            <w:proofErr w:type="spellEnd"/>
            <w:r w:rsidRPr="007D5412">
              <w:rPr>
                <w:rFonts w:ascii="Palatino Linotype" w:hAnsi="Palatino Linotype"/>
                <w:i/>
                <w:sz w:val="14"/>
                <w:szCs w:val="14"/>
                <w:lang w:val="en-GB"/>
              </w:rPr>
              <w:t xml:space="preserve"> 2016</w:t>
            </w:r>
          </w:p>
        </w:tc>
        <w:tc>
          <w:tcPr>
            <w:tcW w:w="1105"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9.1</w:t>
            </w:r>
          </w:p>
        </w:tc>
        <w:tc>
          <w:tcPr>
            <w:tcW w:w="963"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10.4</w:t>
            </w:r>
          </w:p>
        </w:tc>
        <w:tc>
          <w:tcPr>
            <w:tcW w:w="1090"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11.3</w:t>
            </w:r>
          </w:p>
        </w:tc>
        <w:tc>
          <w:tcPr>
            <w:tcW w:w="2021"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9.9</w:t>
            </w:r>
          </w:p>
        </w:tc>
        <w:tc>
          <w:tcPr>
            <w:tcW w:w="1137"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10.5</w:t>
            </w:r>
          </w:p>
        </w:tc>
        <w:tc>
          <w:tcPr>
            <w:tcW w:w="1216"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6.1</w:t>
            </w:r>
          </w:p>
        </w:tc>
        <w:tc>
          <w:tcPr>
            <w:tcW w:w="1121"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7.5</w:t>
            </w:r>
          </w:p>
        </w:tc>
        <w:tc>
          <w:tcPr>
            <w:tcW w:w="1800" w:type="dxa"/>
            <w:tcBorders>
              <w:bottom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8.7</w:t>
            </w:r>
          </w:p>
        </w:tc>
        <w:tc>
          <w:tcPr>
            <w:tcW w:w="1690" w:type="dxa"/>
            <w:tcBorders>
              <w:bottom w:val="single" w:sz="4" w:space="0" w:color="auto"/>
              <w:right w:val="single" w:sz="4" w:space="0" w:color="auto"/>
            </w:tcBorders>
            <w:shd w:val="clear" w:color="auto" w:fill="D9D9D9"/>
            <w:vAlign w:val="bottom"/>
          </w:tcPr>
          <w:p w:rsidR="00B35F2B" w:rsidRPr="00B35F2B" w:rsidRDefault="00B35F2B" w:rsidP="00B35F2B">
            <w:pPr>
              <w:snapToGrid w:val="0"/>
              <w:ind w:left="24" w:right="8"/>
              <w:jc w:val="center"/>
              <w:rPr>
                <w:rFonts w:ascii="Palatino Linotype" w:hAnsi="Palatino Linotype"/>
                <w:i/>
                <w:sz w:val="14"/>
                <w:szCs w:val="14"/>
                <w:lang w:val="en-GB"/>
              </w:rPr>
            </w:pPr>
            <w:r w:rsidRPr="00B35F2B">
              <w:rPr>
                <w:rFonts w:ascii="Palatino Linotype" w:hAnsi="Palatino Linotype"/>
                <w:i/>
                <w:sz w:val="14"/>
                <w:szCs w:val="14"/>
                <w:lang w:val="en-GB"/>
              </w:rPr>
              <w:t>9.6</w:t>
            </w:r>
          </w:p>
        </w:tc>
      </w:tr>
      <w:tr w:rsidR="00DA37F0" w:rsidTr="00DA37F0">
        <w:trPr>
          <w:trHeight w:val="284"/>
          <w:jc w:val="center"/>
        </w:trPr>
        <w:tc>
          <w:tcPr>
            <w:tcW w:w="14243" w:type="dxa"/>
            <w:gridSpan w:val="10"/>
            <w:tcBorders>
              <w:top w:val="single" w:sz="4" w:space="0" w:color="auto"/>
              <w:left w:val="single" w:sz="4" w:space="0" w:color="auto"/>
              <w:bottom w:val="single" w:sz="4" w:space="0" w:color="auto"/>
              <w:right w:val="single" w:sz="4" w:space="0" w:color="auto"/>
            </w:tcBorders>
            <w:vAlign w:val="bottom"/>
          </w:tcPr>
          <w:p w:rsidR="00DA37F0" w:rsidRPr="00200994" w:rsidRDefault="00DA37F0" w:rsidP="00200994">
            <w:pPr>
              <w:snapToGrid w:val="0"/>
              <w:ind w:left="24" w:right="8"/>
              <w:rPr>
                <w:rFonts w:ascii="Palatino Linotype" w:hAnsi="Palatino Linotype"/>
                <w:sz w:val="14"/>
                <w:szCs w:val="14"/>
              </w:rPr>
            </w:pPr>
            <w:r w:rsidRPr="00200994">
              <w:rPr>
                <w:rFonts w:ascii="Palatino Linotype" w:hAnsi="Palatino Linotype"/>
                <w:sz w:val="14"/>
                <w:szCs w:val="14"/>
              </w:rPr>
              <w:t>Fuente: Pr</w:t>
            </w:r>
            <w:r>
              <w:rPr>
                <w:rFonts w:ascii="Palatino Linotype" w:hAnsi="Palatino Linotype"/>
                <w:sz w:val="14"/>
                <w:szCs w:val="14"/>
              </w:rPr>
              <w:t>oyecciones</w:t>
            </w:r>
            <w:r w:rsidRPr="00200994">
              <w:rPr>
                <w:rFonts w:ascii="Palatino Linotype" w:hAnsi="Palatino Linotype"/>
                <w:sz w:val="14"/>
                <w:szCs w:val="14"/>
              </w:rPr>
              <w:t xml:space="preserve"> elaboradas por </w:t>
            </w:r>
            <w:proofErr w:type="spellStart"/>
            <w:r w:rsidRPr="00F51557">
              <w:rPr>
                <w:rFonts w:ascii="Arial Black" w:hAnsi="Arial Black"/>
                <w:color w:val="99284C"/>
                <w:sz w:val="14"/>
                <w:szCs w:val="14"/>
                <w:lang w:val="es-UY"/>
              </w:rPr>
              <w:t>cinve</w:t>
            </w:r>
            <w:proofErr w:type="spellEnd"/>
            <w:r w:rsidRPr="00200994">
              <w:rPr>
                <w:rFonts w:ascii="Palatino Linotype" w:hAnsi="Palatino Linotype"/>
                <w:sz w:val="14"/>
                <w:szCs w:val="14"/>
              </w:rPr>
              <w:t xml:space="preserve"> al </w:t>
            </w:r>
            <w:r w:rsidR="003D6F25">
              <w:rPr>
                <w:rFonts w:ascii="Palatino Linotype" w:hAnsi="Palatino Linotype"/>
                <w:sz w:val="14"/>
                <w:szCs w:val="14"/>
              </w:rPr>
              <w:t>24</w:t>
            </w:r>
            <w:r w:rsidR="00FF2678">
              <w:rPr>
                <w:rFonts w:ascii="Palatino Linotype" w:hAnsi="Palatino Linotype"/>
                <w:sz w:val="14"/>
                <w:szCs w:val="14"/>
              </w:rPr>
              <w:t>/0</w:t>
            </w:r>
            <w:r w:rsidR="003D6F25">
              <w:rPr>
                <w:rFonts w:ascii="Palatino Linotype" w:hAnsi="Palatino Linotype"/>
                <w:sz w:val="14"/>
                <w:szCs w:val="14"/>
              </w:rPr>
              <w:t>8</w:t>
            </w:r>
            <w:r w:rsidR="009276E0">
              <w:rPr>
                <w:rFonts w:ascii="Palatino Linotype" w:hAnsi="Palatino Linotype"/>
                <w:sz w:val="14"/>
                <w:szCs w:val="14"/>
              </w:rPr>
              <w:t>/2016</w:t>
            </w:r>
            <w:r w:rsidRPr="00200994">
              <w:rPr>
                <w:rFonts w:ascii="Palatino Linotype" w:hAnsi="Palatino Linotype"/>
                <w:sz w:val="14"/>
                <w:szCs w:val="14"/>
              </w:rPr>
              <w:t>.</w:t>
            </w:r>
          </w:p>
          <w:p w:rsidR="00DA37F0" w:rsidRPr="00200994" w:rsidRDefault="00DA37F0" w:rsidP="00200994">
            <w:pPr>
              <w:snapToGrid w:val="0"/>
              <w:ind w:left="24" w:right="8"/>
              <w:rPr>
                <w:rFonts w:ascii="Palatino Linotype" w:hAnsi="Palatino Linotype"/>
                <w:sz w:val="14"/>
                <w:szCs w:val="14"/>
              </w:rPr>
            </w:pPr>
          </w:p>
          <w:p w:rsidR="00DA37F0" w:rsidRPr="00200994" w:rsidRDefault="00DA37F0" w:rsidP="00200994">
            <w:pPr>
              <w:snapToGrid w:val="0"/>
              <w:ind w:left="24" w:right="8"/>
              <w:rPr>
                <w:rFonts w:ascii="Palatino Linotype" w:hAnsi="Palatino Linotype"/>
                <w:sz w:val="14"/>
                <w:szCs w:val="14"/>
              </w:rPr>
            </w:pPr>
            <w:r w:rsidRPr="00200994">
              <w:rPr>
                <w:rFonts w:ascii="Palatino Linotype" w:hAnsi="Palatino Linotype"/>
                <w:sz w:val="14"/>
                <w:szCs w:val="14"/>
              </w:rPr>
              <w:t xml:space="preserve">BENE: Bienes Elaborados No Energéticos. </w:t>
            </w:r>
          </w:p>
          <w:p w:rsidR="00DA37F0" w:rsidRPr="00200994" w:rsidRDefault="00DA37F0" w:rsidP="00200994">
            <w:pPr>
              <w:snapToGrid w:val="0"/>
              <w:ind w:left="24" w:right="8"/>
              <w:rPr>
                <w:rFonts w:ascii="Palatino Linotype" w:hAnsi="Palatino Linotype"/>
                <w:sz w:val="14"/>
                <w:szCs w:val="14"/>
              </w:rPr>
            </w:pPr>
            <w:proofErr w:type="spellStart"/>
            <w:r w:rsidRPr="00200994">
              <w:rPr>
                <w:rFonts w:ascii="Palatino Linotype" w:hAnsi="Palatino Linotype"/>
                <w:sz w:val="14"/>
                <w:szCs w:val="14"/>
              </w:rPr>
              <w:t>SERVnoA</w:t>
            </w:r>
            <w:proofErr w:type="spellEnd"/>
            <w:r w:rsidRPr="00200994">
              <w:rPr>
                <w:rFonts w:ascii="Palatino Linotype" w:hAnsi="Palatino Linotype"/>
                <w:sz w:val="14"/>
                <w:szCs w:val="14"/>
              </w:rPr>
              <w:t xml:space="preserve">: Servicios No Administrados </w:t>
            </w:r>
          </w:p>
          <w:p w:rsidR="00DA37F0" w:rsidRPr="00200994" w:rsidRDefault="00DA37F0" w:rsidP="00200994">
            <w:pPr>
              <w:snapToGrid w:val="0"/>
              <w:ind w:left="24" w:right="8"/>
              <w:rPr>
                <w:rFonts w:ascii="Palatino Linotype" w:hAnsi="Palatino Linotype"/>
                <w:sz w:val="14"/>
                <w:szCs w:val="14"/>
              </w:rPr>
            </w:pPr>
            <w:proofErr w:type="spellStart"/>
            <w:r w:rsidRPr="00200994">
              <w:rPr>
                <w:rFonts w:ascii="Palatino Linotype" w:hAnsi="Palatino Linotype"/>
                <w:sz w:val="14"/>
                <w:szCs w:val="14"/>
              </w:rPr>
              <w:t>SerVAd</w:t>
            </w:r>
            <w:proofErr w:type="spellEnd"/>
            <w:r w:rsidRPr="00200994">
              <w:rPr>
                <w:rFonts w:ascii="Palatino Linotype" w:hAnsi="Palatino Linotype"/>
                <w:sz w:val="14"/>
                <w:szCs w:val="14"/>
              </w:rPr>
              <w:t xml:space="preserve">: Servicios Administrados </w:t>
            </w:r>
          </w:p>
          <w:p w:rsidR="00DA37F0" w:rsidRPr="00200994" w:rsidRDefault="00DA37F0" w:rsidP="00200994">
            <w:pPr>
              <w:snapToGrid w:val="0"/>
              <w:ind w:left="24" w:right="8"/>
              <w:rPr>
                <w:rFonts w:ascii="Palatino Linotype" w:hAnsi="Palatino Linotype"/>
                <w:sz w:val="14"/>
                <w:szCs w:val="14"/>
              </w:rPr>
            </w:pPr>
            <w:r w:rsidRPr="00200994">
              <w:rPr>
                <w:rFonts w:ascii="Palatino Linotype" w:hAnsi="Palatino Linotype"/>
                <w:sz w:val="14"/>
                <w:szCs w:val="14"/>
              </w:rPr>
              <w:t xml:space="preserve">ANE: Alimentos No Elaborados. </w:t>
            </w:r>
          </w:p>
          <w:p w:rsidR="00DA37F0" w:rsidRPr="00200994" w:rsidRDefault="00DA37F0" w:rsidP="00200994">
            <w:pPr>
              <w:snapToGrid w:val="0"/>
              <w:ind w:left="24" w:right="8"/>
              <w:rPr>
                <w:rFonts w:ascii="Palatino Linotype" w:hAnsi="Palatino Linotype"/>
                <w:sz w:val="14"/>
                <w:szCs w:val="14"/>
              </w:rPr>
            </w:pPr>
            <w:r w:rsidRPr="00200994">
              <w:rPr>
                <w:rFonts w:ascii="Palatino Linotype" w:hAnsi="Palatino Linotype"/>
                <w:sz w:val="14"/>
                <w:szCs w:val="14"/>
              </w:rPr>
              <w:t>ENE: Energéticos.</w:t>
            </w:r>
          </w:p>
          <w:p w:rsidR="00DA37F0" w:rsidRPr="00200994" w:rsidRDefault="00DA37F0" w:rsidP="00200994">
            <w:pPr>
              <w:snapToGrid w:val="0"/>
              <w:ind w:left="24" w:right="8"/>
              <w:rPr>
                <w:rFonts w:ascii="Palatino Linotype" w:hAnsi="Palatino Linotype"/>
                <w:sz w:val="14"/>
                <w:szCs w:val="14"/>
              </w:rPr>
            </w:pPr>
            <w:proofErr w:type="spellStart"/>
            <w:r w:rsidRPr="00200994">
              <w:rPr>
                <w:rFonts w:ascii="Palatino Linotype" w:hAnsi="Palatino Linotype"/>
                <w:sz w:val="14"/>
                <w:szCs w:val="14"/>
              </w:rPr>
              <w:t>SERVPub</w:t>
            </w:r>
            <w:proofErr w:type="spellEnd"/>
            <w:r w:rsidRPr="00200994">
              <w:rPr>
                <w:rFonts w:ascii="Palatino Linotype" w:hAnsi="Palatino Linotype"/>
                <w:sz w:val="14"/>
                <w:szCs w:val="14"/>
              </w:rPr>
              <w:t>: Servicios administrados públicos.</w:t>
            </w:r>
          </w:p>
        </w:tc>
      </w:tr>
    </w:tbl>
    <w:p w:rsidR="005A1572" w:rsidRDefault="00DA37F0" w:rsidP="00DA37F0">
      <w:pPr>
        <w:pStyle w:val="Piedecuadro"/>
        <w:tabs>
          <w:tab w:val="center" w:pos="5270"/>
        </w:tabs>
        <w:spacing w:line="240" w:lineRule="auto"/>
      </w:pPr>
      <w:r>
        <w:rPr>
          <w:b/>
          <w:noProof/>
          <w:lang w:val="es-ES" w:eastAsia="es-ES"/>
        </w:rPr>
        <w:lastRenderedPageBreak/>
        <w:drawing>
          <wp:anchor distT="0" distB="0" distL="114300" distR="114300" simplePos="0" relativeHeight="251655168" behindDoc="1" locked="0" layoutInCell="1" allowOverlap="1">
            <wp:simplePos x="0" y="0"/>
            <wp:positionH relativeFrom="column">
              <wp:posOffset>-1238885</wp:posOffset>
            </wp:positionH>
            <wp:positionV relativeFrom="paragraph">
              <wp:posOffset>-977265</wp:posOffset>
            </wp:positionV>
            <wp:extent cx="798830" cy="7990840"/>
            <wp:effectExtent l="19050" t="0" r="1270" b="0"/>
            <wp:wrapNone/>
            <wp:docPr id="1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7" cstate="print"/>
                    <a:srcRect/>
                    <a:stretch>
                      <a:fillRect/>
                    </a:stretch>
                  </pic:blipFill>
                  <pic:spPr bwMode="auto">
                    <a:xfrm>
                      <a:off x="0" y="0"/>
                      <a:ext cx="798830" cy="7990840"/>
                    </a:xfrm>
                    <a:prstGeom prst="rect">
                      <a:avLst/>
                    </a:prstGeom>
                    <a:noFill/>
                    <a:ln w="9525">
                      <a:noFill/>
                      <a:miter lim="800000"/>
                      <a:headEnd/>
                      <a:tailEnd/>
                    </a:ln>
                  </pic:spPr>
                </pic:pic>
              </a:graphicData>
            </a:graphic>
          </wp:anchor>
        </w:drawing>
      </w:r>
    </w:p>
    <w:tbl>
      <w:tblPr>
        <w:tblW w:w="28354" w:type="dxa"/>
        <w:tblInd w:w="1" w:type="dxa"/>
        <w:tblLayout w:type="fixed"/>
        <w:tblCellMar>
          <w:left w:w="0" w:type="dxa"/>
          <w:right w:w="0" w:type="dxa"/>
        </w:tblCellMar>
        <w:tblLook w:val="0000"/>
      </w:tblPr>
      <w:tblGrid>
        <w:gridCol w:w="1138"/>
        <w:gridCol w:w="1262"/>
        <w:gridCol w:w="1263"/>
        <w:gridCol w:w="1248"/>
        <w:gridCol w:w="2036"/>
        <w:gridCol w:w="1216"/>
        <w:gridCol w:w="1248"/>
        <w:gridCol w:w="1263"/>
        <w:gridCol w:w="1784"/>
        <w:gridCol w:w="1892"/>
        <w:gridCol w:w="1556"/>
        <w:gridCol w:w="1556"/>
        <w:gridCol w:w="1556"/>
        <w:gridCol w:w="1556"/>
        <w:gridCol w:w="1556"/>
        <w:gridCol w:w="1556"/>
        <w:gridCol w:w="1556"/>
        <w:gridCol w:w="1556"/>
        <w:gridCol w:w="1556"/>
      </w:tblGrid>
      <w:tr w:rsidR="005A1572" w:rsidTr="008B36E6">
        <w:trPr>
          <w:gridAfter w:val="9"/>
          <w:wAfter w:w="14004" w:type="dxa"/>
          <w:cantSplit/>
          <w:trHeight w:val="288"/>
        </w:trPr>
        <w:tc>
          <w:tcPr>
            <w:tcW w:w="14350" w:type="dxa"/>
            <w:gridSpan w:val="10"/>
            <w:tcBorders>
              <w:top w:val="single" w:sz="4" w:space="0" w:color="000000"/>
              <w:left w:val="single" w:sz="4" w:space="0" w:color="000000"/>
              <w:bottom w:val="single" w:sz="4" w:space="0" w:color="auto"/>
              <w:right w:val="single" w:sz="4" w:space="0" w:color="000000"/>
            </w:tcBorders>
            <w:vAlign w:val="center"/>
          </w:tcPr>
          <w:p w:rsidR="005A1572" w:rsidRDefault="005A1572" w:rsidP="00077F19">
            <w:pPr>
              <w:pStyle w:val="Piedecuadro"/>
              <w:keepNext/>
              <w:keepLines/>
              <w:snapToGrid w:val="0"/>
              <w:spacing w:before="120" w:line="240" w:lineRule="auto"/>
              <w:ind w:right="171"/>
              <w:jc w:val="right"/>
              <w:rPr>
                <w:rFonts w:ascii="Palatino Linotype" w:hAnsi="Palatino Linotype"/>
                <w:b/>
                <w:bCs/>
                <w:i/>
                <w:color w:val="99284C"/>
                <w:sz w:val="16"/>
                <w:szCs w:val="16"/>
              </w:rPr>
            </w:pPr>
            <w:r>
              <w:rPr>
                <w:rFonts w:ascii="Palatino Linotype" w:hAnsi="Palatino Linotype"/>
                <w:b/>
                <w:bCs/>
                <w:i/>
                <w:color w:val="99284C"/>
                <w:sz w:val="16"/>
                <w:szCs w:val="16"/>
              </w:rPr>
              <w:t xml:space="preserve">Cuadro </w:t>
            </w:r>
            <w:r w:rsidR="00077F19">
              <w:rPr>
                <w:rFonts w:ascii="Palatino Linotype" w:hAnsi="Palatino Linotype"/>
                <w:b/>
                <w:bCs/>
                <w:i/>
                <w:color w:val="99284C"/>
                <w:sz w:val="16"/>
                <w:szCs w:val="16"/>
                <w:lang w:val="es-ES_tradnl"/>
              </w:rPr>
              <w:t xml:space="preserve">Estadístico </w:t>
            </w:r>
            <w:r>
              <w:rPr>
                <w:rFonts w:ascii="Palatino Linotype" w:hAnsi="Palatino Linotype"/>
                <w:b/>
                <w:bCs/>
                <w:i/>
                <w:color w:val="99284C"/>
                <w:sz w:val="16"/>
                <w:szCs w:val="16"/>
              </w:rPr>
              <w:t>3</w:t>
            </w:r>
          </w:p>
        </w:tc>
      </w:tr>
      <w:tr w:rsidR="005A1572" w:rsidTr="008B36E6">
        <w:trPr>
          <w:gridAfter w:val="9"/>
          <w:wAfter w:w="14004" w:type="dxa"/>
          <w:cantSplit/>
          <w:trHeight w:val="544"/>
        </w:trPr>
        <w:tc>
          <w:tcPr>
            <w:tcW w:w="14350"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5A1572" w:rsidRDefault="005A1572" w:rsidP="005E792D">
            <w:pPr>
              <w:pStyle w:val="Piedecuadro"/>
              <w:keepNext/>
              <w:keepLines/>
              <w:snapToGrid w:val="0"/>
              <w:spacing w:line="240" w:lineRule="auto"/>
              <w:jc w:val="center"/>
              <w:rPr>
                <w:rFonts w:ascii="Palatino Linotype" w:hAnsi="Palatino Linotype"/>
                <w:b/>
                <w:bCs/>
                <w:color w:val="000000"/>
                <w:sz w:val="18"/>
                <w:szCs w:val="18"/>
              </w:rPr>
            </w:pPr>
            <w:r>
              <w:rPr>
                <w:rFonts w:ascii="Palatino Linotype" w:hAnsi="Palatino Linotype"/>
                <w:b/>
                <w:bCs/>
                <w:color w:val="000000"/>
                <w:sz w:val="18"/>
                <w:szCs w:val="18"/>
              </w:rPr>
              <w:t>Predicciones de inflación, tasas de variación mensual</w:t>
            </w:r>
          </w:p>
        </w:tc>
      </w:tr>
      <w:tr w:rsidR="005A1572" w:rsidTr="008B36E6">
        <w:trPr>
          <w:gridAfter w:val="9"/>
          <w:wAfter w:w="14004" w:type="dxa"/>
          <w:cantSplit/>
          <w:trHeight w:val="288"/>
        </w:trPr>
        <w:tc>
          <w:tcPr>
            <w:tcW w:w="1138" w:type="dxa"/>
            <w:tcBorders>
              <w:top w:val="single" w:sz="4" w:space="0" w:color="auto"/>
              <w:left w:val="single" w:sz="4" w:space="0" w:color="000000"/>
              <w:bottom w:val="single" w:sz="4" w:space="0" w:color="000000"/>
            </w:tcBorders>
            <w:vAlign w:val="center"/>
          </w:tcPr>
          <w:p w:rsidR="005A1572" w:rsidRDefault="005A1572" w:rsidP="005E792D">
            <w:pPr>
              <w:keepNext/>
              <w:keepLines/>
              <w:snapToGrid w:val="0"/>
              <w:jc w:val="center"/>
              <w:rPr>
                <w:rFonts w:ascii="Palatino Linotype" w:hAnsi="Palatino Linotype"/>
                <w:b/>
                <w:bCs/>
                <w:color w:val="000000"/>
                <w:sz w:val="14"/>
                <w:szCs w:val="14"/>
                <w:lang w:val="es-UY"/>
              </w:rPr>
            </w:pPr>
          </w:p>
        </w:tc>
        <w:tc>
          <w:tcPr>
            <w:tcW w:w="13212" w:type="dxa"/>
            <w:gridSpan w:val="9"/>
            <w:tcBorders>
              <w:top w:val="single" w:sz="4" w:space="0" w:color="auto"/>
              <w:left w:val="single" w:sz="4" w:space="0" w:color="000000"/>
              <w:bottom w:val="single" w:sz="4" w:space="0" w:color="000000"/>
              <w:right w:val="single" w:sz="4" w:space="0" w:color="000000"/>
            </w:tcBorders>
            <w:vAlign w:val="center"/>
          </w:tcPr>
          <w:p w:rsidR="005A1572" w:rsidRDefault="00F2654F" w:rsidP="005E792D">
            <w:pPr>
              <w:keepNext/>
              <w:keepLines/>
              <w:snapToGrid w:val="0"/>
              <w:jc w:val="center"/>
              <w:rPr>
                <w:rFonts w:ascii="Palatino Linotype" w:hAnsi="Palatino Linotype"/>
                <w:b/>
                <w:bCs/>
                <w:color w:val="000000"/>
                <w:sz w:val="14"/>
                <w:szCs w:val="14"/>
                <w:lang w:val="es-UY"/>
              </w:rPr>
            </w:pPr>
            <w:r>
              <w:rPr>
                <w:rFonts w:ascii="Palatino Linotype" w:hAnsi="Palatino Linotype"/>
                <w:b/>
                <w:bCs/>
                <w:color w:val="000000"/>
                <w:sz w:val="14"/>
                <w:szCs w:val="14"/>
                <w:lang w:val="es-UY"/>
              </w:rPr>
              <w:t>Índices</w:t>
            </w:r>
            <w:r w:rsidR="005A1572">
              <w:rPr>
                <w:rFonts w:ascii="Palatino Linotype" w:hAnsi="Palatino Linotype"/>
                <w:b/>
                <w:bCs/>
                <w:color w:val="000000"/>
                <w:sz w:val="14"/>
                <w:szCs w:val="14"/>
                <w:lang w:val="es-UY"/>
              </w:rPr>
              <w:t xml:space="preserve"> de los Precios del Consumo</w:t>
            </w:r>
          </w:p>
        </w:tc>
      </w:tr>
      <w:tr w:rsidR="000309DB" w:rsidTr="008B36E6">
        <w:trPr>
          <w:gridAfter w:val="9"/>
          <w:wAfter w:w="14004" w:type="dxa"/>
          <w:cantSplit/>
          <w:trHeight w:val="888"/>
        </w:trPr>
        <w:tc>
          <w:tcPr>
            <w:tcW w:w="1138" w:type="dxa"/>
            <w:tcBorders>
              <w:top w:val="single" w:sz="4" w:space="0" w:color="000000"/>
              <w:left w:val="single" w:sz="4" w:space="0" w:color="000000"/>
              <w:bottom w:val="single" w:sz="4" w:space="0" w:color="000000"/>
            </w:tcBorders>
            <w:vAlign w:val="center"/>
          </w:tcPr>
          <w:p w:rsidR="000309DB" w:rsidRDefault="000309DB" w:rsidP="005E792D">
            <w:pPr>
              <w:keepNext/>
              <w:keepLines/>
              <w:snapToGrid w:val="0"/>
              <w:jc w:val="center"/>
              <w:rPr>
                <w:rFonts w:ascii="Palatino Linotype" w:hAnsi="Palatino Linotype"/>
                <w:color w:val="000000"/>
                <w:sz w:val="14"/>
                <w:szCs w:val="14"/>
                <w:lang w:val="es-UY"/>
              </w:rPr>
            </w:pPr>
            <w:r>
              <w:rPr>
                <w:rFonts w:ascii="Palatino Linotype" w:hAnsi="Palatino Linotype"/>
                <w:color w:val="000000"/>
                <w:sz w:val="14"/>
                <w:szCs w:val="14"/>
                <w:lang w:val="es-UY"/>
              </w:rPr>
              <w:t>Mes/Año</w:t>
            </w:r>
          </w:p>
        </w:tc>
        <w:tc>
          <w:tcPr>
            <w:tcW w:w="1262" w:type="dxa"/>
            <w:tcBorders>
              <w:top w:val="single" w:sz="4" w:space="0" w:color="000000"/>
              <w:left w:val="single" w:sz="4" w:space="0" w:color="000000"/>
              <w:bottom w:val="single" w:sz="4" w:space="0" w:color="000000"/>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(1) </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 xml:space="preserve">BENE </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(36,38%)</w:t>
            </w:r>
          </w:p>
        </w:tc>
        <w:tc>
          <w:tcPr>
            <w:tcW w:w="1263" w:type="dxa"/>
            <w:tcBorders>
              <w:top w:val="single" w:sz="4" w:space="0" w:color="000000"/>
              <w:left w:val="single" w:sz="4" w:space="0" w:color="000000"/>
              <w:bottom w:val="single" w:sz="4" w:space="0" w:color="000000"/>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(2)</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 xml:space="preserve"> </w:t>
            </w:r>
            <w:proofErr w:type="spellStart"/>
            <w:r>
              <w:rPr>
                <w:rFonts w:ascii="Palatino Linotype" w:hAnsi="Palatino Linotype"/>
                <w:sz w:val="14"/>
                <w:szCs w:val="14"/>
              </w:rPr>
              <w:t>SERVnoA</w:t>
            </w:r>
            <w:proofErr w:type="spellEnd"/>
            <w:r>
              <w:rPr>
                <w:rFonts w:ascii="Palatino Linotype" w:hAnsi="Palatino Linotype"/>
                <w:sz w:val="14"/>
                <w:szCs w:val="14"/>
              </w:rPr>
              <w:t xml:space="preserve"> (30,34%)</w:t>
            </w:r>
          </w:p>
        </w:tc>
        <w:tc>
          <w:tcPr>
            <w:tcW w:w="1248" w:type="dxa"/>
            <w:tcBorders>
              <w:top w:val="single" w:sz="4" w:space="0" w:color="000000"/>
              <w:left w:val="single" w:sz="4" w:space="0" w:color="000000"/>
              <w:bottom w:val="single" w:sz="4" w:space="0" w:color="000000"/>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(3) </w:t>
            </w:r>
          </w:p>
          <w:p w:rsidR="000309DB" w:rsidRDefault="000309DB" w:rsidP="000309DB">
            <w:pPr>
              <w:ind w:left="24" w:right="8"/>
              <w:jc w:val="center"/>
              <w:rPr>
                <w:rFonts w:ascii="Palatino Linotype" w:hAnsi="Palatino Linotype"/>
                <w:sz w:val="14"/>
                <w:szCs w:val="14"/>
              </w:rPr>
            </w:pPr>
            <w:proofErr w:type="spellStart"/>
            <w:r>
              <w:rPr>
                <w:rFonts w:ascii="Palatino Linotype" w:hAnsi="Palatino Linotype"/>
                <w:sz w:val="14"/>
                <w:szCs w:val="14"/>
              </w:rPr>
              <w:t>SERVAd</w:t>
            </w:r>
            <w:proofErr w:type="spellEnd"/>
            <w:r>
              <w:rPr>
                <w:rFonts w:ascii="Palatino Linotype" w:hAnsi="Palatino Linotype"/>
                <w:sz w:val="14"/>
                <w:szCs w:val="14"/>
              </w:rPr>
              <w:t xml:space="preserve"> (8,55%)</w:t>
            </w:r>
          </w:p>
        </w:tc>
        <w:tc>
          <w:tcPr>
            <w:tcW w:w="2036" w:type="dxa"/>
            <w:tcBorders>
              <w:top w:val="single" w:sz="4" w:space="0" w:color="000000"/>
              <w:left w:val="single" w:sz="4" w:space="0" w:color="000000"/>
              <w:bottom w:val="single" w:sz="4" w:space="0" w:color="000000"/>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INFLACIÓN TENDENCIAL </w:t>
            </w:r>
          </w:p>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(1+2+3)</w:t>
            </w:r>
          </w:p>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 (75,27%)</w:t>
            </w:r>
          </w:p>
        </w:tc>
        <w:tc>
          <w:tcPr>
            <w:tcW w:w="1216" w:type="dxa"/>
            <w:tcBorders>
              <w:top w:val="single" w:sz="4" w:space="0" w:color="000000"/>
              <w:left w:val="single" w:sz="4" w:space="0" w:color="000000"/>
              <w:bottom w:val="single" w:sz="4" w:space="0" w:color="000000"/>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(4) </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ANE (12,12%)</w:t>
            </w:r>
          </w:p>
        </w:tc>
        <w:tc>
          <w:tcPr>
            <w:tcW w:w="1248" w:type="dxa"/>
            <w:tcBorders>
              <w:top w:val="single" w:sz="4" w:space="0" w:color="000000"/>
              <w:left w:val="single" w:sz="4" w:space="0" w:color="000000"/>
              <w:bottom w:val="single" w:sz="4" w:space="0" w:color="000000"/>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(5) </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ENE</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(8,33%)</w:t>
            </w:r>
          </w:p>
        </w:tc>
        <w:tc>
          <w:tcPr>
            <w:tcW w:w="1263" w:type="dxa"/>
            <w:tcBorders>
              <w:top w:val="single" w:sz="4" w:space="0" w:color="000000"/>
              <w:left w:val="single" w:sz="4" w:space="0" w:color="000000"/>
              <w:bottom w:val="single" w:sz="4" w:space="0" w:color="000000"/>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(6) </w:t>
            </w:r>
          </w:p>
          <w:p w:rsidR="000309DB" w:rsidRDefault="000309DB" w:rsidP="000309DB">
            <w:pPr>
              <w:ind w:left="24" w:right="8"/>
              <w:jc w:val="center"/>
              <w:rPr>
                <w:rFonts w:ascii="Palatino Linotype" w:hAnsi="Palatino Linotype"/>
                <w:sz w:val="14"/>
                <w:szCs w:val="14"/>
              </w:rPr>
            </w:pPr>
            <w:proofErr w:type="spellStart"/>
            <w:r>
              <w:rPr>
                <w:rFonts w:ascii="Palatino Linotype" w:hAnsi="Palatino Linotype"/>
                <w:sz w:val="14"/>
                <w:szCs w:val="14"/>
              </w:rPr>
              <w:t>SERVPub</w:t>
            </w:r>
            <w:proofErr w:type="spellEnd"/>
            <w:r>
              <w:rPr>
                <w:rFonts w:ascii="Palatino Linotype" w:hAnsi="Palatino Linotype"/>
                <w:sz w:val="14"/>
                <w:szCs w:val="14"/>
              </w:rPr>
              <w:t xml:space="preserve"> </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(4,28%)</w:t>
            </w:r>
          </w:p>
        </w:tc>
        <w:tc>
          <w:tcPr>
            <w:tcW w:w="1784" w:type="dxa"/>
            <w:tcBorders>
              <w:top w:val="single" w:sz="4" w:space="0" w:color="000000"/>
              <w:left w:val="single" w:sz="4" w:space="0" w:color="000000"/>
              <w:bottom w:val="single" w:sz="4" w:space="0" w:color="000000"/>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INFLACIÓN RESIDUAL (4+5+6) </w:t>
            </w:r>
          </w:p>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(24,73%)</w:t>
            </w:r>
          </w:p>
        </w:tc>
        <w:tc>
          <w:tcPr>
            <w:tcW w:w="1892" w:type="dxa"/>
            <w:tcBorders>
              <w:top w:val="single" w:sz="4" w:space="0" w:color="000000"/>
              <w:left w:val="single" w:sz="4" w:space="0" w:color="000000"/>
              <w:bottom w:val="single" w:sz="4" w:space="0" w:color="000000"/>
              <w:right w:val="single" w:sz="4" w:space="0" w:color="000000"/>
            </w:tcBorders>
            <w:vAlign w:val="center"/>
          </w:tcPr>
          <w:p w:rsidR="000309DB" w:rsidRDefault="000309DB" w:rsidP="000309DB">
            <w:pPr>
              <w:snapToGrid w:val="0"/>
              <w:ind w:left="24" w:right="8"/>
              <w:jc w:val="center"/>
              <w:rPr>
                <w:rFonts w:ascii="Palatino Linotype" w:hAnsi="Palatino Linotype"/>
                <w:sz w:val="14"/>
                <w:szCs w:val="14"/>
              </w:rPr>
            </w:pPr>
          </w:p>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INFLACIÓN IPC </w:t>
            </w:r>
          </w:p>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(100%)</w:t>
            </w:r>
          </w:p>
        </w:tc>
      </w:tr>
      <w:tr w:rsidR="00B35F2B" w:rsidRPr="00B35F2B" w:rsidTr="00B35F2B">
        <w:trPr>
          <w:gridAfter w:val="9"/>
          <w:wAfter w:w="14004" w:type="dxa"/>
          <w:trHeight w:val="227"/>
        </w:trPr>
        <w:tc>
          <w:tcPr>
            <w:tcW w:w="1138" w:type="dxa"/>
            <w:tcBorders>
              <w:top w:val="single" w:sz="4" w:space="0" w:color="000000"/>
              <w:left w:val="single" w:sz="4" w:space="0" w:color="000000"/>
            </w:tcBorders>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01/15</w:t>
            </w:r>
          </w:p>
        </w:tc>
        <w:tc>
          <w:tcPr>
            <w:tcW w:w="1262" w:type="dxa"/>
            <w:tcBorders>
              <w:top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0.77</w:t>
            </w:r>
          </w:p>
        </w:tc>
        <w:tc>
          <w:tcPr>
            <w:tcW w:w="1263" w:type="dxa"/>
            <w:tcBorders>
              <w:top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1.42</w:t>
            </w:r>
          </w:p>
        </w:tc>
        <w:tc>
          <w:tcPr>
            <w:tcW w:w="1248" w:type="dxa"/>
            <w:tcBorders>
              <w:top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1.00</w:t>
            </w:r>
          </w:p>
        </w:tc>
        <w:tc>
          <w:tcPr>
            <w:tcW w:w="2036" w:type="dxa"/>
            <w:tcBorders>
              <w:top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1.07</w:t>
            </w:r>
          </w:p>
        </w:tc>
        <w:tc>
          <w:tcPr>
            <w:tcW w:w="1216" w:type="dxa"/>
            <w:tcBorders>
              <w:top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2.19</w:t>
            </w:r>
          </w:p>
        </w:tc>
        <w:tc>
          <w:tcPr>
            <w:tcW w:w="1248" w:type="dxa"/>
            <w:tcBorders>
              <w:top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14.02</w:t>
            </w:r>
          </w:p>
        </w:tc>
        <w:tc>
          <w:tcPr>
            <w:tcW w:w="1263" w:type="dxa"/>
            <w:tcBorders>
              <w:top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3.33</w:t>
            </w:r>
          </w:p>
        </w:tc>
        <w:tc>
          <w:tcPr>
            <w:tcW w:w="1784" w:type="dxa"/>
            <w:tcBorders>
              <w:top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6.00</w:t>
            </w:r>
          </w:p>
        </w:tc>
        <w:tc>
          <w:tcPr>
            <w:tcW w:w="1892" w:type="dxa"/>
            <w:tcBorders>
              <w:top w:val="single" w:sz="4" w:space="0" w:color="000000"/>
              <w:right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2.22</w:t>
            </w:r>
          </w:p>
        </w:tc>
      </w:tr>
      <w:tr w:rsidR="00B35F2B" w:rsidRPr="00B35F2B" w:rsidTr="00B35F2B">
        <w:trPr>
          <w:gridAfter w:val="9"/>
          <w:wAfter w:w="14004" w:type="dxa"/>
          <w:trHeight w:val="227"/>
        </w:trPr>
        <w:tc>
          <w:tcPr>
            <w:tcW w:w="1138" w:type="dxa"/>
            <w:tcBorders>
              <w:left w:val="single" w:sz="4" w:space="0" w:color="000000"/>
            </w:tcBorders>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02/15</w:t>
            </w:r>
          </w:p>
        </w:tc>
        <w:tc>
          <w:tcPr>
            <w:tcW w:w="1262"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0.40</w:t>
            </w:r>
          </w:p>
        </w:tc>
        <w:tc>
          <w:tcPr>
            <w:tcW w:w="1263"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1.94</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0.86</w:t>
            </w:r>
          </w:p>
        </w:tc>
        <w:tc>
          <w:tcPr>
            <w:tcW w:w="2036"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1.11</w:t>
            </w:r>
          </w:p>
        </w:tc>
        <w:tc>
          <w:tcPr>
            <w:tcW w:w="1216"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0.95</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1.65</w:t>
            </w:r>
          </w:p>
        </w:tc>
        <w:tc>
          <w:tcPr>
            <w:tcW w:w="1263"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78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1.05</w:t>
            </w:r>
          </w:p>
        </w:tc>
        <w:tc>
          <w:tcPr>
            <w:tcW w:w="1892" w:type="dxa"/>
            <w:tcBorders>
              <w:right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1.10</w:t>
            </w:r>
          </w:p>
        </w:tc>
      </w:tr>
      <w:tr w:rsidR="00B35F2B" w:rsidRPr="00B35F2B" w:rsidTr="00B35F2B">
        <w:trPr>
          <w:gridAfter w:val="9"/>
          <w:wAfter w:w="14004" w:type="dxa"/>
          <w:trHeight w:val="227"/>
        </w:trPr>
        <w:tc>
          <w:tcPr>
            <w:tcW w:w="1138" w:type="dxa"/>
            <w:tcBorders>
              <w:left w:val="single" w:sz="4" w:space="0" w:color="000000"/>
            </w:tcBorders>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03/15</w:t>
            </w:r>
          </w:p>
        </w:tc>
        <w:tc>
          <w:tcPr>
            <w:tcW w:w="1262"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1.06</w:t>
            </w:r>
          </w:p>
        </w:tc>
        <w:tc>
          <w:tcPr>
            <w:tcW w:w="1263"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0.73</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0.48</w:t>
            </w:r>
          </w:p>
        </w:tc>
        <w:tc>
          <w:tcPr>
            <w:tcW w:w="2036"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0.85</w:t>
            </w:r>
          </w:p>
        </w:tc>
        <w:tc>
          <w:tcPr>
            <w:tcW w:w="1216"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0.39</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0.03</w:t>
            </w:r>
          </w:p>
        </w:tc>
        <w:tc>
          <w:tcPr>
            <w:tcW w:w="1263"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78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0.22</w:t>
            </w:r>
          </w:p>
        </w:tc>
        <w:tc>
          <w:tcPr>
            <w:tcW w:w="1892" w:type="dxa"/>
            <w:tcBorders>
              <w:right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0.70</w:t>
            </w:r>
          </w:p>
        </w:tc>
      </w:tr>
      <w:tr w:rsidR="00B35F2B" w:rsidRPr="00B35F2B" w:rsidTr="00B35F2B">
        <w:trPr>
          <w:gridAfter w:val="9"/>
          <w:wAfter w:w="14004" w:type="dxa"/>
          <w:trHeight w:val="227"/>
        </w:trPr>
        <w:tc>
          <w:tcPr>
            <w:tcW w:w="1138" w:type="dxa"/>
            <w:tcBorders>
              <w:left w:val="single" w:sz="4" w:space="0" w:color="000000"/>
            </w:tcBorders>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04/15</w:t>
            </w:r>
          </w:p>
        </w:tc>
        <w:tc>
          <w:tcPr>
            <w:tcW w:w="1262"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1.14</w:t>
            </w:r>
          </w:p>
        </w:tc>
        <w:tc>
          <w:tcPr>
            <w:tcW w:w="1263"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0.65</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0.16</w:t>
            </w:r>
          </w:p>
        </w:tc>
        <w:tc>
          <w:tcPr>
            <w:tcW w:w="2036"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0.82</w:t>
            </w:r>
          </w:p>
        </w:tc>
        <w:tc>
          <w:tcPr>
            <w:tcW w:w="1216"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-0.50</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0.16</w:t>
            </w:r>
          </w:p>
        </w:tc>
        <w:tc>
          <w:tcPr>
            <w:tcW w:w="1263"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0.01</w:t>
            </w:r>
          </w:p>
        </w:tc>
        <w:tc>
          <w:tcPr>
            <w:tcW w:w="178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-0.21</w:t>
            </w:r>
          </w:p>
        </w:tc>
        <w:tc>
          <w:tcPr>
            <w:tcW w:w="1892" w:type="dxa"/>
            <w:tcBorders>
              <w:right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0.57</w:t>
            </w:r>
          </w:p>
        </w:tc>
      </w:tr>
      <w:tr w:rsidR="00B35F2B" w:rsidRPr="00B35F2B" w:rsidTr="00B35F2B">
        <w:trPr>
          <w:gridAfter w:val="9"/>
          <w:wAfter w:w="14004" w:type="dxa"/>
          <w:trHeight w:val="227"/>
        </w:trPr>
        <w:tc>
          <w:tcPr>
            <w:tcW w:w="1138" w:type="dxa"/>
            <w:tcBorders>
              <w:left w:val="single" w:sz="4" w:space="0" w:color="000000"/>
            </w:tcBorders>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05/15</w:t>
            </w:r>
          </w:p>
        </w:tc>
        <w:tc>
          <w:tcPr>
            <w:tcW w:w="1262"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0.69</w:t>
            </w:r>
          </w:p>
        </w:tc>
        <w:tc>
          <w:tcPr>
            <w:tcW w:w="1263"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0.44</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0.29</w:t>
            </w:r>
          </w:p>
        </w:tc>
        <w:tc>
          <w:tcPr>
            <w:tcW w:w="2036"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0.54</w:t>
            </w:r>
          </w:p>
        </w:tc>
        <w:tc>
          <w:tcPr>
            <w:tcW w:w="1216"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0.53</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0.14</w:t>
            </w:r>
          </w:p>
        </w:tc>
        <w:tc>
          <w:tcPr>
            <w:tcW w:w="1263"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78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0.33</w:t>
            </w:r>
          </w:p>
        </w:tc>
        <w:tc>
          <w:tcPr>
            <w:tcW w:w="1892" w:type="dxa"/>
            <w:tcBorders>
              <w:right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0.49</w:t>
            </w:r>
          </w:p>
        </w:tc>
      </w:tr>
      <w:tr w:rsidR="00B35F2B" w:rsidRPr="00B35F2B" w:rsidTr="00B35F2B">
        <w:trPr>
          <w:gridAfter w:val="9"/>
          <w:wAfter w:w="14004" w:type="dxa"/>
          <w:trHeight w:val="227"/>
        </w:trPr>
        <w:tc>
          <w:tcPr>
            <w:tcW w:w="1138" w:type="dxa"/>
            <w:tcBorders>
              <w:left w:val="single" w:sz="4" w:space="0" w:color="000000"/>
            </w:tcBorders>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06/15</w:t>
            </w:r>
          </w:p>
        </w:tc>
        <w:tc>
          <w:tcPr>
            <w:tcW w:w="1262"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0.70</w:t>
            </w:r>
          </w:p>
        </w:tc>
        <w:tc>
          <w:tcPr>
            <w:tcW w:w="1263"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0.71</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0.20</w:t>
            </w:r>
          </w:p>
        </w:tc>
        <w:tc>
          <w:tcPr>
            <w:tcW w:w="2036"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0.65</w:t>
            </w:r>
          </w:p>
        </w:tc>
        <w:tc>
          <w:tcPr>
            <w:tcW w:w="1216"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-0.47</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0.15</w:t>
            </w:r>
          </w:p>
        </w:tc>
        <w:tc>
          <w:tcPr>
            <w:tcW w:w="1263"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0.01</w:t>
            </w:r>
          </w:p>
        </w:tc>
        <w:tc>
          <w:tcPr>
            <w:tcW w:w="178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-0.20</w:t>
            </w:r>
          </w:p>
        </w:tc>
        <w:tc>
          <w:tcPr>
            <w:tcW w:w="1892" w:type="dxa"/>
            <w:tcBorders>
              <w:right w:val="single" w:sz="4" w:space="0" w:color="000000"/>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0.45</w:t>
            </w:r>
          </w:p>
        </w:tc>
      </w:tr>
      <w:tr w:rsidR="00B35F2B" w:rsidRPr="00B35F2B" w:rsidTr="00B35F2B">
        <w:trPr>
          <w:gridAfter w:val="9"/>
          <w:wAfter w:w="14004" w:type="dxa"/>
          <w:trHeight w:val="227"/>
        </w:trPr>
        <w:tc>
          <w:tcPr>
            <w:tcW w:w="1138" w:type="dxa"/>
            <w:tcBorders>
              <w:left w:val="single" w:sz="4" w:space="0" w:color="000000"/>
            </w:tcBorders>
            <w:shd w:val="clear" w:color="auto" w:fill="auto"/>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07/15</w:t>
            </w:r>
          </w:p>
        </w:tc>
        <w:tc>
          <w:tcPr>
            <w:tcW w:w="1262"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1.27</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0.84</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0.81</w:t>
            </w:r>
          </w:p>
        </w:tc>
        <w:tc>
          <w:tcPr>
            <w:tcW w:w="203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1.03</w:t>
            </w:r>
          </w:p>
        </w:tc>
        <w:tc>
          <w:tcPr>
            <w:tcW w:w="121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2.87</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0.74</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0.02</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1.77</w:t>
            </w:r>
          </w:p>
        </w:tc>
        <w:tc>
          <w:tcPr>
            <w:tcW w:w="1892" w:type="dxa"/>
            <w:tcBorders>
              <w:right w:val="single" w:sz="4" w:space="0" w:color="000000"/>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1.21</w:t>
            </w:r>
          </w:p>
        </w:tc>
      </w:tr>
      <w:tr w:rsidR="00B35F2B" w:rsidRPr="00B35F2B" w:rsidTr="00B35F2B">
        <w:trPr>
          <w:gridAfter w:val="9"/>
          <w:wAfter w:w="14004" w:type="dxa"/>
          <w:trHeight w:val="227"/>
        </w:trPr>
        <w:tc>
          <w:tcPr>
            <w:tcW w:w="1138" w:type="dxa"/>
            <w:tcBorders>
              <w:left w:val="single" w:sz="4" w:space="0" w:color="000000"/>
            </w:tcBorders>
            <w:shd w:val="clear" w:color="auto" w:fill="auto"/>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08/15</w:t>
            </w:r>
          </w:p>
        </w:tc>
        <w:tc>
          <w:tcPr>
            <w:tcW w:w="1262"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0.82</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1.16</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0.73</w:t>
            </w:r>
          </w:p>
        </w:tc>
        <w:tc>
          <w:tcPr>
            <w:tcW w:w="203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0.96</w:t>
            </w:r>
          </w:p>
        </w:tc>
        <w:tc>
          <w:tcPr>
            <w:tcW w:w="121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2.36</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1.86</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0.02</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1.88</w:t>
            </w:r>
          </w:p>
        </w:tc>
        <w:tc>
          <w:tcPr>
            <w:tcW w:w="1892" w:type="dxa"/>
            <w:tcBorders>
              <w:right w:val="single" w:sz="4" w:space="0" w:color="000000"/>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1.18</w:t>
            </w:r>
          </w:p>
        </w:tc>
      </w:tr>
      <w:tr w:rsidR="00B35F2B" w:rsidRPr="00B35F2B" w:rsidTr="00B35F2B">
        <w:trPr>
          <w:gridAfter w:val="9"/>
          <w:wAfter w:w="14004" w:type="dxa"/>
          <w:trHeight w:val="227"/>
        </w:trPr>
        <w:tc>
          <w:tcPr>
            <w:tcW w:w="1138" w:type="dxa"/>
            <w:tcBorders>
              <w:left w:val="single" w:sz="4" w:space="0" w:color="000000"/>
            </w:tcBorders>
            <w:shd w:val="clear" w:color="auto" w:fill="auto"/>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09/15</w:t>
            </w:r>
          </w:p>
        </w:tc>
        <w:tc>
          <w:tcPr>
            <w:tcW w:w="1262"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0.30</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0.55</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2.36</w:t>
            </w:r>
          </w:p>
        </w:tc>
        <w:tc>
          <w:tcPr>
            <w:tcW w:w="203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0.63</w:t>
            </w:r>
          </w:p>
        </w:tc>
        <w:tc>
          <w:tcPr>
            <w:tcW w:w="121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1.63</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0.03</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-0.02</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0.88</w:t>
            </w:r>
          </w:p>
        </w:tc>
        <w:tc>
          <w:tcPr>
            <w:tcW w:w="1892" w:type="dxa"/>
            <w:tcBorders>
              <w:right w:val="single" w:sz="4" w:space="0" w:color="000000"/>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0.69</w:t>
            </w:r>
          </w:p>
        </w:tc>
      </w:tr>
      <w:tr w:rsidR="00B35F2B" w:rsidRPr="00B35F2B" w:rsidTr="00B35F2B">
        <w:trPr>
          <w:gridAfter w:val="9"/>
          <w:wAfter w:w="14004" w:type="dxa"/>
          <w:trHeight w:val="227"/>
        </w:trPr>
        <w:tc>
          <w:tcPr>
            <w:tcW w:w="1138" w:type="dxa"/>
            <w:tcBorders>
              <w:left w:val="single" w:sz="4" w:space="0" w:color="000000"/>
            </w:tcBorders>
            <w:shd w:val="clear" w:color="auto" w:fill="auto"/>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10/15</w:t>
            </w:r>
          </w:p>
        </w:tc>
        <w:tc>
          <w:tcPr>
            <w:tcW w:w="1262"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1.15</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0.61</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1.20</w:t>
            </w:r>
          </w:p>
        </w:tc>
        <w:tc>
          <w:tcPr>
            <w:tcW w:w="203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0.92</w:t>
            </w:r>
          </w:p>
        </w:tc>
        <w:tc>
          <w:tcPr>
            <w:tcW w:w="121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-0.73</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-0.07</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0.01</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-0.42</w:t>
            </w:r>
          </w:p>
        </w:tc>
        <w:tc>
          <w:tcPr>
            <w:tcW w:w="1892" w:type="dxa"/>
            <w:tcBorders>
              <w:right w:val="single" w:sz="4" w:space="0" w:color="000000"/>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0.60</w:t>
            </w:r>
          </w:p>
        </w:tc>
      </w:tr>
      <w:tr w:rsidR="00B35F2B" w:rsidRPr="00B35F2B" w:rsidTr="00B35F2B">
        <w:trPr>
          <w:gridAfter w:val="9"/>
          <w:wAfter w:w="14004" w:type="dxa"/>
          <w:trHeight w:val="227"/>
        </w:trPr>
        <w:tc>
          <w:tcPr>
            <w:tcW w:w="1138" w:type="dxa"/>
            <w:tcBorders>
              <w:left w:val="single" w:sz="4" w:space="0" w:color="000000"/>
            </w:tcBorders>
            <w:shd w:val="clear" w:color="auto" w:fill="auto"/>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11/15</w:t>
            </w:r>
          </w:p>
        </w:tc>
        <w:tc>
          <w:tcPr>
            <w:tcW w:w="1262"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0.76</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0.57</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0.07</w:t>
            </w:r>
          </w:p>
        </w:tc>
        <w:tc>
          <w:tcPr>
            <w:tcW w:w="203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0.60</w:t>
            </w:r>
          </w:p>
        </w:tc>
        <w:tc>
          <w:tcPr>
            <w:tcW w:w="121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0.01</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-0.45</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0.01</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-0.14</w:t>
            </w:r>
          </w:p>
        </w:tc>
        <w:tc>
          <w:tcPr>
            <w:tcW w:w="1892" w:type="dxa"/>
            <w:tcBorders>
              <w:right w:val="single" w:sz="4" w:space="0" w:color="000000"/>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0.43</w:t>
            </w:r>
          </w:p>
        </w:tc>
      </w:tr>
      <w:tr w:rsidR="00B35F2B" w:rsidRPr="00B35F2B" w:rsidTr="00B35F2B">
        <w:trPr>
          <w:gridAfter w:val="9"/>
          <w:wAfter w:w="14004" w:type="dxa"/>
          <w:trHeight w:val="227"/>
        </w:trPr>
        <w:tc>
          <w:tcPr>
            <w:tcW w:w="1138" w:type="dxa"/>
            <w:tcBorders>
              <w:left w:val="single" w:sz="4" w:space="0" w:color="000000"/>
            </w:tcBorders>
            <w:shd w:val="clear" w:color="auto" w:fill="auto"/>
            <w:vAlign w:val="bottom"/>
          </w:tcPr>
          <w:p w:rsidR="00B35F2B" w:rsidRPr="009276E0" w:rsidRDefault="00B35F2B" w:rsidP="00B633C5">
            <w:pPr>
              <w:snapToGrid w:val="0"/>
              <w:jc w:val="center"/>
              <w:rPr>
                <w:rFonts w:ascii="Palatino Linotype" w:hAnsi="Palatino Linotype"/>
                <w:sz w:val="14"/>
                <w:szCs w:val="14"/>
              </w:rPr>
            </w:pPr>
            <w:r w:rsidRPr="009276E0">
              <w:rPr>
                <w:rFonts w:ascii="Palatino Linotype" w:hAnsi="Palatino Linotype"/>
                <w:sz w:val="14"/>
                <w:szCs w:val="14"/>
              </w:rPr>
              <w:t>12/15</w:t>
            </w:r>
          </w:p>
        </w:tc>
        <w:tc>
          <w:tcPr>
            <w:tcW w:w="1262"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0.29</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0.58</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0.57</w:t>
            </w:r>
          </w:p>
        </w:tc>
        <w:tc>
          <w:tcPr>
            <w:tcW w:w="203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0.45</w:t>
            </w:r>
          </w:p>
        </w:tc>
        <w:tc>
          <w:tcPr>
            <w:tcW w:w="121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-0.01</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-11.44</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0.01</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-3.77</w:t>
            </w:r>
          </w:p>
        </w:tc>
        <w:tc>
          <w:tcPr>
            <w:tcW w:w="1892" w:type="dxa"/>
            <w:tcBorders>
              <w:right w:val="single" w:sz="4" w:space="0" w:color="000000"/>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-0.55</w:t>
            </w:r>
          </w:p>
        </w:tc>
      </w:tr>
      <w:tr w:rsidR="00B35F2B" w:rsidRPr="00B35F2B" w:rsidTr="00B35F2B">
        <w:trPr>
          <w:gridAfter w:val="9"/>
          <w:wAfter w:w="14004" w:type="dxa"/>
          <w:trHeight w:val="227"/>
        </w:trPr>
        <w:tc>
          <w:tcPr>
            <w:tcW w:w="1138" w:type="dxa"/>
            <w:tcBorders>
              <w:left w:val="single" w:sz="4" w:space="0" w:color="000000"/>
            </w:tcBorders>
            <w:shd w:val="clear" w:color="auto" w:fill="auto"/>
            <w:vAlign w:val="bottom"/>
          </w:tcPr>
          <w:p w:rsidR="00B35F2B" w:rsidRPr="009276E0" w:rsidRDefault="00B35F2B" w:rsidP="00B633C5">
            <w:pPr>
              <w:snapToGrid w:val="0"/>
              <w:jc w:val="center"/>
              <w:rPr>
                <w:rFonts w:ascii="Palatino Linotype" w:hAnsi="Palatino Linotype"/>
                <w:sz w:val="14"/>
                <w:szCs w:val="14"/>
              </w:rPr>
            </w:pPr>
            <w:r w:rsidRPr="009276E0">
              <w:rPr>
                <w:rFonts w:ascii="Palatino Linotype" w:hAnsi="Palatino Linotype"/>
                <w:sz w:val="14"/>
                <w:szCs w:val="14"/>
              </w:rPr>
              <w:t>01/16</w:t>
            </w:r>
          </w:p>
        </w:tc>
        <w:tc>
          <w:tcPr>
            <w:tcW w:w="1262"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0.80</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1.68</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1.01</w:t>
            </w:r>
          </w:p>
        </w:tc>
        <w:tc>
          <w:tcPr>
            <w:tcW w:w="203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1.20</w:t>
            </w:r>
          </w:p>
        </w:tc>
        <w:tc>
          <w:tcPr>
            <w:tcW w:w="121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1.16</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16.38</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7.57</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6.65</w:t>
            </w:r>
          </w:p>
        </w:tc>
        <w:tc>
          <w:tcPr>
            <w:tcW w:w="1892" w:type="dxa"/>
            <w:tcBorders>
              <w:right w:val="single" w:sz="4" w:space="0" w:color="000000"/>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2.45</w:t>
            </w:r>
          </w:p>
        </w:tc>
      </w:tr>
      <w:tr w:rsidR="00B35F2B" w:rsidRPr="00B35F2B" w:rsidTr="00B35F2B">
        <w:trPr>
          <w:gridAfter w:val="9"/>
          <w:wAfter w:w="14004" w:type="dxa"/>
          <w:trHeight w:val="227"/>
        </w:trPr>
        <w:tc>
          <w:tcPr>
            <w:tcW w:w="1138" w:type="dxa"/>
            <w:tcBorders>
              <w:left w:val="single" w:sz="4" w:space="0" w:color="000000"/>
            </w:tcBorders>
            <w:shd w:val="clear" w:color="auto" w:fill="FFFFFF" w:themeFill="background1"/>
            <w:vAlign w:val="bottom"/>
          </w:tcPr>
          <w:p w:rsidR="00B35F2B" w:rsidRPr="00CA373C" w:rsidRDefault="00B35F2B" w:rsidP="00CA373C">
            <w:pPr>
              <w:snapToGrid w:val="0"/>
              <w:jc w:val="center"/>
              <w:rPr>
                <w:rFonts w:ascii="Palatino Linotype" w:hAnsi="Palatino Linotype"/>
                <w:sz w:val="14"/>
                <w:szCs w:val="14"/>
              </w:rPr>
            </w:pPr>
            <w:r w:rsidRPr="00CA373C">
              <w:rPr>
                <w:rFonts w:ascii="Palatino Linotype" w:hAnsi="Palatino Linotype"/>
                <w:sz w:val="14"/>
                <w:szCs w:val="14"/>
              </w:rPr>
              <w:t>02/16</w:t>
            </w:r>
          </w:p>
        </w:tc>
        <w:tc>
          <w:tcPr>
            <w:tcW w:w="1262"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2.11</w:t>
            </w:r>
          </w:p>
        </w:tc>
        <w:tc>
          <w:tcPr>
            <w:tcW w:w="1263"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1.43</w:t>
            </w:r>
          </w:p>
        </w:tc>
        <w:tc>
          <w:tcPr>
            <w:tcW w:w="1248"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0.73</w:t>
            </w:r>
          </w:p>
        </w:tc>
        <w:tc>
          <w:tcPr>
            <w:tcW w:w="2036"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1.67</w:t>
            </w:r>
          </w:p>
        </w:tc>
        <w:tc>
          <w:tcPr>
            <w:tcW w:w="1216"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1.28</w:t>
            </w:r>
          </w:p>
        </w:tc>
        <w:tc>
          <w:tcPr>
            <w:tcW w:w="1248"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2.13</w:t>
            </w:r>
          </w:p>
        </w:tc>
        <w:tc>
          <w:tcPr>
            <w:tcW w:w="1263"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0.02</w:t>
            </w:r>
          </w:p>
        </w:tc>
        <w:tc>
          <w:tcPr>
            <w:tcW w:w="1784"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1.38</w:t>
            </w:r>
          </w:p>
        </w:tc>
        <w:tc>
          <w:tcPr>
            <w:tcW w:w="1892" w:type="dxa"/>
            <w:tcBorders>
              <w:right w:val="single" w:sz="4" w:space="0" w:color="000000"/>
            </w:tcBorders>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1.60</w:t>
            </w:r>
          </w:p>
        </w:tc>
      </w:tr>
      <w:tr w:rsidR="00B35F2B" w:rsidRPr="00B35F2B" w:rsidTr="00B35F2B">
        <w:trPr>
          <w:gridAfter w:val="9"/>
          <w:wAfter w:w="14004" w:type="dxa"/>
          <w:trHeight w:val="227"/>
        </w:trPr>
        <w:tc>
          <w:tcPr>
            <w:tcW w:w="1138" w:type="dxa"/>
            <w:tcBorders>
              <w:left w:val="single" w:sz="4" w:space="0" w:color="000000"/>
            </w:tcBorders>
            <w:shd w:val="clear" w:color="auto" w:fill="FFFFFF" w:themeFill="background1"/>
            <w:vAlign w:val="bottom"/>
          </w:tcPr>
          <w:p w:rsidR="00B35F2B" w:rsidRPr="00656FCB" w:rsidRDefault="00B35F2B" w:rsidP="00656FCB">
            <w:pPr>
              <w:snapToGrid w:val="0"/>
              <w:jc w:val="center"/>
              <w:rPr>
                <w:rFonts w:ascii="Palatino Linotype" w:hAnsi="Palatino Linotype"/>
                <w:sz w:val="14"/>
                <w:szCs w:val="14"/>
              </w:rPr>
            </w:pPr>
            <w:r w:rsidRPr="00656FCB">
              <w:rPr>
                <w:rFonts w:ascii="Palatino Linotype" w:hAnsi="Palatino Linotype"/>
                <w:sz w:val="14"/>
                <w:szCs w:val="14"/>
              </w:rPr>
              <w:t>03/16</w:t>
            </w:r>
          </w:p>
        </w:tc>
        <w:tc>
          <w:tcPr>
            <w:tcW w:w="1262"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1.29</w:t>
            </w:r>
          </w:p>
        </w:tc>
        <w:tc>
          <w:tcPr>
            <w:tcW w:w="1263"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0.86</w:t>
            </w:r>
          </w:p>
        </w:tc>
        <w:tc>
          <w:tcPr>
            <w:tcW w:w="1248"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1.22</w:t>
            </w:r>
          </w:p>
        </w:tc>
        <w:tc>
          <w:tcPr>
            <w:tcW w:w="2036"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1.10</w:t>
            </w:r>
          </w:p>
        </w:tc>
        <w:tc>
          <w:tcPr>
            <w:tcW w:w="1216"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1.50</w:t>
            </w:r>
          </w:p>
        </w:tc>
        <w:tc>
          <w:tcPr>
            <w:tcW w:w="1248"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0.13</w:t>
            </w:r>
          </w:p>
        </w:tc>
        <w:tc>
          <w:tcPr>
            <w:tcW w:w="1263"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0.01</w:t>
            </w:r>
          </w:p>
        </w:tc>
        <w:tc>
          <w:tcPr>
            <w:tcW w:w="1784"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0.84</w:t>
            </w:r>
          </w:p>
        </w:tc>
        <w:tc>
          <w:tcPr>
            <w:tcW w:w="1892" w:type="dxa"/>
            <w:tcBorders>
              <w:right w:val="single" w:sz="4" w:space="0" w:color="000000"/>
            </w:tcBorders>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1.04</w:t>
            </w:r>
          </w:p>
        </w:tc>
      </w:tr>
      <w:tr w:rsidR="00B35F2B" w:rsidRPr="00B35F2B" w:rsidTr="00B35F2B">
        <w:trPr>
          <w:gridAfter w:val="9"/>
          <w:wAfter w:w="14004" w:type="dxa"/>
          <w:trHeight w:val="227"/>
        </w:trPr>
        <w:tc>
          <w:tcPr>
            <w:tcW w:w="1138" w:type="dxa"/>
            <w:tcBorders>
              <w:left w:val="single" w:sz="4" w:space="0" w:color="000000"/>
            </w:tcBorders>
            <w:shd w:val="clear" w:color="auto" w:fill="FFFFFF" w:themeFill="background1"/>
            <w:vAlign w:val="bottom"/>
          </w:tcPr>
          <w:p w:rsidR="00B35F2B" w:rsidRPr="00656FCB" w:rsidRDefault="00B35F2B" w:rsidP="00656FCB">
            <w:pPr>
              <w:snapToGrid w:val="0"/>
              <w:jc w:val="center"/>
              <w:rPr>
                <w:rFonts w:ascii="Palatino Linotype" w:hAnsi="Palatino Linotype"/>
                <w:sz w:val="14"/>
                <w:szCs w:val="14"/>
              </w:rPr>
            </w:pPr>
            <w:r w:rsidRPr="00656FCB">
              <w:rPr>
                <w:rFonts w:ascii="Palatino Linotype" w:hAnsi="Palatino Linotype"/>
                <w:sz w:val="14"/>
                <w:szCs w:val="14"/>
              </w:rPr>
              <w:t>04/16</w:t>
            </w:r>
          </w:p>
        </w:tc>
        <w:tc>
          <w:tcPr>
            <w:tcW w:w="1262"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0.58</w:t>
            </w:r>
          </w:p>
        </w:tc>
        <w:tc>
          <w:tcPr>
            <w:tcW w:w="1263"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0.40</w:t>
            </w:r>
          </w:p>
        </w:tc>
        <w:tc>
          <w:tcPr>
            <w:tcW w:w="1248"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0.56</w:t>
            </w:r>
          </w:p>
        </w:tc>
        <w:tc>
          <w:tcPr>
            <w:tcW w:w="2036"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0.50</w:t>
            </w:r>
          </w:p>
        </w:tc>
        <w:tc>
          <w:tcPr>
            <w:tcW w:w="1216"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0.59</w:t>
            </w:r>
          </w:p>
        </w:tc>
        <w:tc>
          <w:tcPr>
            <w:tcW w:w="1248"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263"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0.03</w:t>
            </w:r>
          </w:p>
        </w:tc>
        <w:tc>
          <w:tcPr>
            <w:tcW w:w="1784"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0.32</w:t>
            </w:r>
          </w:p>
        </w:tc>
        <w:tc>
          <w:tcPr>
            <w:tcW w:w="1892" w:type="dxa"/>
            <w:tcBorders>
              <w:right w:val="single" w:sz="4" w:space="0" w:color="000000"/>
            </w:tcBorders>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0.46</w:t>
            </w:r>
          </w:p>
        </w:tc>
      </w:tr>
      <w:tr w:rsidR="00B35F2B" w:rsidRPr="00B35F2B" w:rsidTr="00B35F2B">
        <w:trPr>
          <w:gridAfter w:val="9"/>
          <w:wAfter w:w="14004" w:type="dxa"/>
          <w:trHeight w:val="227"/>
        </w:trPr>
        <w:tc>
          <w:tcPr>
            <w:tcW w:w="1138" w:type="dxa"/>
            <w:tcBorders>
              <w:left w:val="single" w:sz="4" w:space="0" w:color="000000"/>
            </w:tcBorders>
            <w:shd w:val="clear" w:color="auto" w:fill="FFFFFF" w:themeFill="background1"/>
            <w:vAlign w:val="bottom"/>
          </w:tcPr>
          <w:p w:rsidR="00B35F2B" w:rsidRPr="00B633C5" w:rsidRDefault="00B35F2B" w:rsidP="00B633C5">
            <w:pPr>
              <w:snapToGrid w:val="0"/>
              <w:ind w:left="24" w:right="8"/>
              <w:jc w:val="center"/>
              <w:rPr>
                <w:rFonts w:ascii="Palatino Linotype" w:hAnsi="Palatino Linotype"/>
                <w:i/>
                <w:sz w:val="14"/>
                <w:szCs w:val="14"/>
                <w:lang w:val="en-GB"/>
              </w:rPr>
            </w:pPr>
            <w:r w:rsidRPr="00B633C5">
              <w:rPr>
                <w:rFonts w:ascii="Palatino Linotype" w:hAnsi="Palatino Linotype"/>
                <w:i/>
                <w:sz w:val="14"/>
                <w:szCs w:val="14"/>
                <w:lang w:val="en-GB"/>
              </w:rPr>
              <w:t>05/16</w:t>
            </w:r>
          </w:p>
        </w:tc>
        <w:tc>
          <w:tcPr>
            <w:tcW w:w="1262"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0.37</w:t>
            </w:r>
          </w:p>
        </w:tc>
        <w:tc>
          <w:tcPr>
            <w:tcW w:w="1263"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0.87</w:t>
            </w:r>
          </w:p>
        </w:tc>
        <w:tc>
          <w:tcPr>
            <w:tcW w:w="1248"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0.39</w:t>
            </w:r>
          </w:p>
        </w:tc>
        <w:tc>
          <w:tcPr>
            <w:tcW w:w="2036"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0.58</w:t>
            </w:r>
          </w:p>
        </w:tc>
        <w:tc>
          <w:tcPr>
            <w:tcW w:w="1216"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4.03</w:t>
            </w:r>
          </w:p>
        </w:tc>
        <w:tc>
          <w:tcPr>
            <w:tcW w:w="1248"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0.16</w:t>
            </w:r>
          </w:p>
        </w:tc>
        <w:tc>
          <w:tcPr>
            <w:tcW w:w="1263"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0.01</w:t>
            </w:r>
          </w:p>
        </w:tc>
        <w:tc>
          <w:tcPr>
            <w:tcW w:w="1784"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2.21</w:t>
            </w:r>
          </w:p>
        </w:tc>
        <w:tc>
          <w:tcPr>
            <w:tcW w:w="1892" w:type="dxa"/>
            <w:tcBorders>
              <w:right w:val="single" w:sz="4" w:space="0" w:color="000000"/>
            </w:tcBorders>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0.97</w:t>
            </w:r>
          </w:p>
        </w:tc>
      </w:tr>
      <w:tr w:rsidR="00B35F2B" w:rsidRPr="00B35F2B" w:rsidTr="00B35F2B">
        <w:trPr>
          <w:gridAfter w:val="9"/>
          <w:wAfter w:w="14004" w:type="dxa"/>
          <w:trHeight w:val="227"/>
        </w:trPr>
        <w:tc>
          <w:tcPr>
            <w:tcW w:w="1138" w:type="dxa"/>
            <w:tcBorders>
              <w:left w:val="single" w:sz="4" w:space="0" w:color="000000"/>
            </w:tcBorders>
            <w:shd w:val="clear" w:color="auto" w:fill="auto"/>
            <w:vAlign w:val="bottom"/>
          </w:tcPr>
          <w:p w:rsidR="00B35F2B" w:rsidRPr="00B633C5" w:rsidRDefault="00B35F2B" w:rsidP="00B633C5">
            <w:pPr>
              <w:snapToGrid w:val="0"/>
              <w:ind w:left="24" w:right="8"/>
              <w:jc w:val="center"/>
              <w:rPr>
                <w:rFonts w:ascii="Palatino Linotype" w:hAnsi="Palatino Linotype"/>
                <w:i/>
                <w:sz w:val="14"/>
                <w:szCs w:val="14"/>
                <w:lang w:val="en-GB"/>
              </w:rPr>
            </w:pPr>
            <w:r w:rsidRPr="00B633C5">
              <w:rPr>
                <w:rFonts w:ascii="Palatino Linotype" w:hAnsi="Palatino Linotype"/>
                <w:i/>
                <w:sz w:val="14"/>
                <w:szCs w:val="14"/>
                <w:lang w:val="en-GB"/>
              </w:rPr>
              <w:t>06/16</w:t>
            </w:r>
          </w:p>
        </w:tc>
        <w:tc>
          <w:tcPr>
            <w:tcW w:w="1262"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0.44</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0.10</w:t>
            </w:r>
          </w:p>
        </w:tc>
        <w:tc>
          <w:tcPr>
            <w:tcW w:w="203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0.20</w:t>
            </w:r>
          </w:p>
        </w:tc>
        <w:tc>
          <w:tcPr>
            <w:tcW w:w="1216"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1.88</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0.02</w:t>
            </w:r>
          </w:p>
        </w:tc>
        <w:tc>
          <w:tcPr>
            <w:tcW w:w="1263"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0.02</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1.03</w:t>
            </w:r>
          </w:p>
        </w:tc>
        <w:tc>
          <w:tcPr>
            <w:tcW w:w="1892" w:type="dxa"/>
            <w:tcBorders>
              <w:right w:val="single" w:sz="4" w:space="0" w:color="000000"/>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0.40</w:t>
            </w:r>
          </w:p>
        </w:tc>
      </w:tr>
      <w:tr w:rsidR="00B35F2B" w:rsidRPr="00BA0542" w:rsidTr="00BA0542">
        <w:trPr>
          <w:gridAfter w:val="9"/>
          <w:wAfter w:w="14004" w:type="dxa"/>
          <w:trHeight w:val="227"/>
        </w:trPr>
        <w:tc>
          <w:tcPr>
            <w:tcW w:w="1138" w:type="dxa"/>
            <w:tcBorders>
              <w:left w:val="single" w:sz="4" w:space="0" w:color="000000"/>
            </w:tcBorders>
            <w:shd w:val="clear" w:color="auto" w:fill="auto"/>
            <w:vAlign w:val="bottom"/>
          </w:tcPr>
          <w:p w:rsidR="00B35F2B" w:rsidRPr="00BA0542" w:rsidRDefault="00B35F2B" w:rsidP="00B633C5">
            <w:pPr>
              <w:snapToGrid w:val="0"/>
              <w:ind w:left="24" w:right="8"/>
              <w:jc w:val="center"/>
              <w:rPr>
                <w:rFonts w:ascii="Palatino Linotype" w:hAnsi="Palatino Linotype"/>
                <w:i/>
                <w:sz w:val="14"/>
                <w:szCs w:val="14"/>
                <w:lang w:val="en-GB"/>
              </w:rPr>
            </w:pPr>
            <w:r w:rsidRPr="00BA0542">
              <w:rPr>
                <w:rFonts w:ascii="Palatino Linotype" w:hAnsi="Palatino Linotype"/>
                <w:i/>
                <w:sz w:val="14"/>
                <w:szCs w:val="14"/>
                <w:lang w:val="en-GB"/>
              </w:rPr>
              <w:t>07/16</w:t>
            </w:r>
          </w:p>
        </w:tc>
        <w:tc>
          <w:tcPr>
            <w:tcW w:w="1262" w:type="dxa"/>
            <w:shd w:val="clear" w:color="auto" w:fill="auto"/>
            <w:vAlign w:val="bottom"/>
          </w:tcPr>
          <w:p w:rsidR="00B35F2B" w:rsidRPr="00BA0542" w:rsidRDefault="00B35F2B" w:rsidP="00B35F2B">
            <w:pPr>
              <w:snapToGrid w:val="0"/>
              <w:jc w:val="center"/>
              <w:rPr>
                <w:rFonts w:ascii="Palatino Linotype" w:hAnsi="Palatino Linotype"/>
                <w:sz w:val="14"/>
                <w:szCs w:val="14"/>
              </w:rPr>
            </w:pPr>
            <w:r w:rsidRPr="00BA0542">
              <w:rPr>
                <w:rFonts w:ascii="Palatino Linotype" w:hAnsi="Palatino Linotype"/>
                <w:sz w:val="14"/>
                <w:szCs w:val="14"/>
              </w:rPr>
              <w:t>0.21</w:t>
            </w:r>
          </w:p>
        </w:tc>
        <w:tc>
          <w:tcPr>
            <w:tcW w:w="1263" w:type="dxa"/>
            <w:shd w:val="clear" w:color="auto" w:fill="auto"/>
            <w:vAlign w:val="bottom"/>
          </w:tcPr>
          <w:p w:rsidR="00B35F2B" w:rsidRPr="00BA0542" w:rsidRDefault="00B35F2B" w:rsidP="00B35F2B">
            <w:pPr>
              <w:snapToGrid w:val="0"/>
              <w:jc w:val="center"/>
              <w:rPr>
                <w:rFonts w:ascii="Palatino Linotype" w:hAnsi="Palatino Linotype"/>
                <w:sz w:val="14"/>
                <w:szCs w:val="14"/>
              </w:rPr>
            </w:pPr>
            <w:r w:rsidRPr="00BA0542">
              <w:rPr>
                <w:rFonts w:ascii="Palatino Linotype" w:hAnsi="Palatino Linotype"/>
                <w:sz w:val="14"/>
                <w:szCs w:val="14"/>
              </w:rPr>
              <w:t>0.67</w:t>
            </w:r>
          </w:p>
        </w:tc>
        <w:tc>
          <w:tcPr>
            <w:tcW w:w="1248" w:type="dxa"/>
            <w:shd w:val="clear" w:color="auto" w:fill="auto"/>
            <w:vAlign w:val="bottom"/>
          </w:tcPr>
          <w:p w:rsidR="00B35F2B" w:rsidRPr="00BA0542" w:rsidRDefault="00B35F2B" w:rsidP="00B35F2B">
            <w:pPr>
              <w:snapToGrid w:val="0"/>
              <w:jc w:val="center"/>
              <w:rPr>
                <w:rFonts w:ascii="Palatino Linotype" w:hAnsi="Palatino Linotype"/>
                <w:sz w:val="14"/>
                <w:szCs w:val="14"/>
              </w:rPr>
            </w:pPr>
            <w:r w:rsidRPr="00BA0542">
              <w:rPr>
                <w:rFonts w:ascii="Palatino Linotype" w:hAnsi="Palatino Linotype"/>
                <w:sz w:val="14"/>
                <w:szCs w:val="14"/>
              </w:rPr>
              <w:t>0.83</w:t>
            </w:r>
          </w:p>
        </w:tc>
        <w:tc>
          <w:tcPr>
            <w:tcW w:w="2036" w:type="dxa"/>
            <w:shd w:val="clear" w:color="auto" w:fill="auto"/>
            <w:vAlign w:val="bottom"/>
          </w:tcPr>
          <w:p w:rsidR="00B35F2B" w:rsidRPr="00BA0542" w:rsidRDefault="00B35F2B" w:rsidP="00B35F2B">
            <w:pPr>
              <w:snapToGrid w:val="0"/>
              <w:jc w:val="center"/>
              <w:rPr>
                <w:rFonts w:ascii="Palatino Linotype" w:hAnsi="Palatino Linotype"/>
                <w:sz w:val="14"/>
                <w:szCs w:val="14"/>
              </w:rPr>
            </w:pPr>
            <w:r w:rsidRPr="00BA0542">
              <w:rPr>
                <w:rFonts w:ascii="Palatino Linotype" w:hAnsi="Palatino Linotype"/>
                <w:sz w:val="14"/>
                <w:szCs w:val="14"/>
              </w:rPr>
              <w:t>0.48</w:t>
            </w:r>
          </w:p>
        </w:tc>
        <w:tc>
          <w:tcPr>
            <w:tcW w:w="1216" w:type="dxa"/>
            <w:shd w:val="clear" w:color="auto" w:fill="auto"/>
            <w:vAlign w:val="bottom"/>
          </w:tcPr>
          <w:p w:rsidR="00B35F2B" w:rsidRPr="00BA0542" w:rsidRDefault="00B35F2B" w:rsidP="00B35F2B">
            <w:pPr>
              <w:snapToGrid w:val="0"/>
              <w:jc w:val="center"/>
              <w:rPr>
                <w:rFonts w:ascii="Palatino Linotype" w:hAnsi="Palatino Linotype"/>
                <w:sz w:val="14"/>
                <w:szCs w:val="14"/>
              </w:rPr>
            </w:pPr>
            <w:r w:rsidRPr="00BA0542">
              <w:rPr>
                <w:rFonts w:ascii="Palatino Linotype" w:hAnsi="Palatino Linotype"/>
                <w:sz w:val="14"/>
                <w:szCs w:val="14"/>
              </w:rPr>
              <w:t>0.17</w:t>
            </w:r>
          </w:p>
        </w:tc>
        <w:tc>
          <w:tcPr>
            <w:tcW w:w="1248" w:type="dxa"/>
            <w:shd w:val="clear" w:color="auto" w:fill="auto"/>
            <w:vAlign w:val="bottom"/>
          </w:tcPr>
          <w:p w:rsidR="00B35F2B" w:rsidRPr="00BA0542" w:rsidRDefault="00B35F2B" w:rsidP="00B35F2B">
            <w:pPr>
              <w:snapToGrid w:val="0"/>
              <w:jc w:val="center"/>
              <w:rPr>
                <w:rFonts w:ascii="Palatino Linotype" w:hAnsi="Palatino Linotype"/>
                <w:sz w:val="14"/>
                <w:szCs w:val="14"/>
              </w:rPr>
            </w:pPr>
            <w:r w:rsidRPr="00BA0542">
              <w:rPr>
                <w:rFonts w:ascii="Palatino Linotype" w:hAnsi="Palatino Linotype"/>
                <w:sz w:val="14"/>
                <w:szCs w:val="14"/>
              </w:rPr>
              <w:t>0.12</w:t>
            </w:r>
          </w:p>
        </w:tc>
        <w:tc>
          <w:tcPr>
            <w:tcW w:w="1263" w:type="dxa"/>
            <w:shd w:val="clear" w:color="auto" w:fill="auto"/>
            <w:vAlign w:val="bottom"/>
          </w:tcPr>
          <w:p w:rsidR="00B35F2B" w:rsidRPr="00BA0542" w:rsidRDefault="00B35F2B" w:rsidP="00B35F2B">
            <w:pPr>
              <w:snapToGrid w:val="0"/>
              <w:jc w:val="center"/>
              <w:rPr>
                <w:rFonts w:ascii="Palatino Linotype" w:hAnsi="Palatino Linotype"/>
                <w:sz w:val="14"/>
                <w:szCs w:val="14"/>
              </w:rPr>
            </w:pPr>
            <w:r w:rsidRPr="00BA0542">
              <w:rPr>
                <w:rFonts w:ascii="Palatino Linotype" w:hAnsi="Palatino Linotype"/>
                <w:sz w:val="14"/>
                <w:szCs w:val="14"/>
              </w:rPr>
              <w:t>0.00</w:t>
            </w:r>
          </w:p>
        </w:tc>
        <w:tc>
          <w:tcPr>
            <w:tcW w:w="1784" w:type="dxa"/>
            <w:shd w:val="clear" w:color="auto" w:fill="auto"/>
            <w:vAlign w:val="bottom"/>
          </w:tcPr>
          <w:p w:rsidR="00B35F2B" w:rsidRPr="00BA0542" w:rsidRDefault="00B35F2B" w:rsidP="00B35F2B">
            <w:pPr>
              <w:snapToGrid w:val="0"/>
              <w:jc w:val="center"/>
              <w:rPr>
                <w:rFonts w:ascii="Palatino Linotype" w:hAnsi="Palatino Linotype"/>
                <w:sz w:val="14"/>
                <w:szCs w:val="14"/>
              </w:rPr>
            </w:pPr>
            <w:r w:rsidRPr="00BA0542">
              <w:rPr>
                <w:rFonts w:ascii="Palatino Linotype" w:hAnsi="Palatino Linotype"/>
                <w:sz w:val="14"/>
                <w:szCs w:val="14"/>
              </w:rPr>
              <w:t>0.13</w:t>
            </w:r>
          </w:p>
        </w:tc>
        <w:tc>
          <w:tcPr>
            <w:tcW w:w="1892" w:type="dxa"/>
            <w:tcBorders>
              <w:right w:val="single" w:sz="4" w:space="0" w:color="000000"/>
            </w:tcBorders>
            <w:shd w:val="clear" w:color="auto" w:fill="auto"/>
            <w:vAlign w:val="bottom"/>
          </w:tcPr>
          <w:p w:rsidR="00B35F2B" w:rsidRPr="00BA0542" w:rsidRDefault="00B35F2B" w:rsidP="00B35F2B">
            <w:pPr>
              <w:snapToGrid w:val="0"/>
              <w:jc w:val="center"/>
              <w:rPr>
                <w:rFonts w:ascii="Palatino Linotype" w:hAnsi="Palatino Linotype"/>
                <w:sz w:val="14"/>
                <w:szCs w:val="14"/>
              </w:rPr>
            </w:pPr>
            <w:r w:rsidRPr="00BA0542">
              <w:rPr>
                <w:rFonts w:ascii="Palatino Linotype" w:hAnsi="Palatino Linotype"/>
                <w:sz w:val="14"/>
                <w:szCs w:val="14"/>
              </w:rPr>
              <w:t>0.39</w:t>
            </w:r>
          </w:p>
        </w:tc>
      </w:tr>
      <w:tr w:rsidR="00B35F2B" w:rsidRPr="00B35F2B" w:rsidTr="00B35F2B">
        <w:trPr>
          <w:gridAfter w:val="9"/>
          <w:wAfter w:w="14004" w:type="dxa"/>
          <w:trHeight w:val="227"/>
        </w:trPr>
        <w:tc>
          <w:tcPr>
            <w:tcW w:w="1138" w:type="dxa"/>
            <w:tcBorders>
              <w:left w:val="single" w:sz="4" w:space="0" w:color="000000"/>
            </w:tcBorders>
            <w:shd w:val="clear" w:color="auto" w:fill="D9D9D9" w:themeFill="background1" w:themeFillShade="D9"/>
            <w:vAlign w:val="bottom"/>
          </w:tcPr>
          <w:p w:rsidR="00B35F2B" w:rsidRPr="00B633C5" w:rsidRDefault="00B35F2B" w:rsidP="00B633C5">
            <w:pPr>
              <w:snapToGrid w:val="0"/>
              <w:ind w:left="24" w:right="8"/>
              <w:jc w:val="center"/>
              <w:rPr>
                <w:rFonts w:ascii="Palatino Linotype" w:hAnsi="Palatino Linotype"/>
                <w:i/>
                <w:sz w:val="14"/>
                <w:szCs w:val="14"/>
                <w:lang w:val="en-GB"/>
              </w:rPr>
            </w:pPr>
            <w:r w:rsidRPr="00B633C5">
              <w:rPr>
                <w:rFonts w:ascii="Palatino Linotype" w:hAnsi="Palatino Linotype"/>
                <w:i/>
                <w:sz w:val="14"/>
                <w:szCs w:val="14"/>
                <w:lang w:val="en-GB"/>
              </w:rPr>
              <w:t>08/16</w:t>
            </w:r>
          </w:p>
        </w:tc>
        <w:tc>
          <w:tcPr>
            <w:tcW w:w="1262"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-0.28</w:t>
            </w:r>
          </w:p>
        </w:tc>
        <w:tc>
          <w:tcPr>
            <w:tcW w:w="1263"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0.85</w:t>
            </w:r>
          </w:p>
        </w:tc>
        <w:tc>
          <w:tcPr>
            <w:tcW w:w="1248"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3.37</w:t>
            </w:r>
          </w:p>
        </w:tc>
        <w:tc>
          <w:tcPr>
            <w:tcW w:w="2036"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0.61</w:t>
            </w:r>
          </w:p>
        </w:tc>
        <w:tc>
          <w:tcPr>
            <w:tcW w:w="1216"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0.01</w:t>
            </w:r>
          </w:p>
        </w:tc>
        <w:tc>
          <w:tcPr>
            <w:tcW w:w="1248"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263"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78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892" w:type="dxa"/>
            <w:tcBorders>
              <w:right w:val="single" w:sz="4" w:space="0" w:color="000000"/>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0.47</w:t>
            </w:r>
          </w:p>
        </w:tc>
      </w:tr>
      <w:tr w:rsidR="00B35F2B" w:rsidRPr="00B35F2B" w:rsidTr="00B35F2B">
        <w:trPr>
          <w:gridAfter w:val="9"/>
          <w:wAfter w:w="14004" w:type="dxa"/>
          <w:trHeight w:val="227"/>
        </w:trPr>
        <w:tc>
          <w:tcPr>
            <w:tcW w:w="1138" w:type="dxa"/>
            <w:tcBorders>
              <w:left w:val="single" w:sz="4" w:space="0" w:color="000000"/>
            </w:tcBorders>
            <w:shd w:val="clear" w:color="auto" w:fill="D9D9D9" w:themeFill="background1" w:themeFillShade="D9"/>
            <w:vAlign w:val="bottom"/>
          </w:tcPr>
          <w:p w:rsidR="00B35F2B" w:rsidRPr="00B633C5" w:rsidRDefault="00B35F2B" w:rsidP="00B633C5">
            <w:pPr>
              <w:snapToGrid w:val="0"/>
              <w:ind w:left="24" w:right="8"/>
              <w:jc w:val="center"/>
              <w:rPr>
                <w:rFonts w:ascii="Palatino Linotype" w:hAnsi="Palatino Linotype"/>
                <w:i/>
                <w:sz w:val="14"/>
                <w:szCs w:val="14"/>
                <w:lang w:val="en-GB"/>
              </w:rPr>
            </w:pPr>
            <w:r w:rsidRPr="00B633C5">
              <w:rPr>
                <w:rFonts w:ascii="Palatino Linotype" w:hAnsi="Palatino Linotype"/>
                <w:i/>
                <w:sz w:val="14"/>
                <w:szCs w:val="14"/>
                <w:lang w:val="en-GB"/>
              </w:rPr>
              <w:t>09/16</w:t>
            </w:r>
          </w:p>
        </w:tc>
        <w:tc>
          <w:tcPr>
            <w:tcW w:w="1262"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0.77</w:t>
            </w:r>
          </w:p>
        </w:tc>
        <w:tc>
          <w:tcPr>
            <w:tcW w:w="1263"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0.49</w:t>
            </w:r>
          </w:p>
        </w:tc>
        <w:tc>
          <w:tcPr>
            <w:tcW w:w="1248"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1.15</w:t>
            </w:r>
          </w:p>
        </w:tc>
        <w:tc>
          <w:tcPr>
            <w:tcW w:w="2036"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0.69</w:t>
            </w:r>
          </w:p>
        </w:tc>
        <w:tc>
          <w:tcPr>
            <w:tcW w:w="1216"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0.68</w:t>
            </w:r>
          </w:p>
        </w:tc>
        <w:tc>
          <w:tcPr>
            <w:tcW w:w="1248"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263"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78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0.38</w:t>
            </w:r>
          </w:p>
        </w:tc>
        <w:tc>
          <w:tcPr>
            <w:tcW w:w="1892" w:type="dxa"/>
            <w:tcBorders>
              <w:right w:val="single" w:sz="4" w:space="0" w:color="000000"/>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0.62</w:t>
            </w:r>
          </w:p>
        </w:tc>
      </w:tr>
      <w:tr w:rsidR="00B35F2B" w:rsidRPr="00B35F2B" w:rsidTr="00B35F2B">
        <w:trPr>
          <w:gridAfter w:val="9"/>
          <w:wAfter w:w="14004" w:type="dxa"/>
          <w:trHeight w:val="227"/>
        </w:trPr>
        <w:tc>
          <w:tcPr>
            <w:tcW w:w="1138" w:type="dxa"/>
            <w:tcBorders>
              <w:left w:val="single" w:sz="4" w:space="0" w:color="000000"/>
            </w:tcBorders>
            <w:shd w:val="clear" w:color="auto" w:fill="D9D9D9" w:themeFill="background1" w:themeFillShade="D9"/>
            <w:vAlign w:val="bottom"/>
          </w:tcPr>
          <w:p w:rsidR="00B35F2B" w:rsidRPr="00B633C5" w:rsidRDefault="00B35F2B" w:rsidP="00B633C5">
            <w:pPr>
              <w:snapToGrid w:val="0"/>
              <w:ind w:left="24" w:right="8"/>
              <w:jc w:val="center"/>
              <w:rPr>
                <w:rFonts w:ascii="Palatino Linotype" w:hAnsi="Palatino Linotype"/>
                <w:i/>
                <w:sz w:val="14"/>
                <w:szCs w:val="14"/>
                <w:lang w:val="en-GB"/>
              </w:rPr>
            </w:pPr>
            <w:r w:rsidRPr="00B633C5">
              <w:rPr>
                <w:rFonts w:ascii="Palatino Linotype" w:hAnsi="Palatino Linotype"/>
                <w:i/>
                <w:sz w:val="14"/>
                <w:szCs w:val="14"/>
                <w:lang w:val="en-GB"/>
              </w:rPr>
              <w:t>10/16</w:t>
            </w:r>
          </w:p>
        </w:tc>
        <w:tc>
          <w:tcPr>
            <w:tcW w:w="1262"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0.92</w:t>
            </w:r>
          </w:p>
        </w:tc>
        <w:tc>
          <w:tcPr>
            <w:tcW w:w="1263"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0.79</w:t>
            </w:r>
          </w:p>
        </w:tc>
        <w:tc>
          <w:tcPr>
            <w:tcW w:w="1248"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0.05</w:t>
            </w:r>
          </w:p>
        </w:tc>
        <w:tc>
          <w:tcPr>
            <w:tcW w:w="2036"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0.77</w:t>
            </w:r>
          </w:p>
        </w:tc>
        <w:tc>
          <w:tcPr>
            <w:tcW w:w="1216"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0.53</w:t>
            </w:r>
          </w:p>
        </w:tc>
        <w:tc>
          <w:tcPr>
            <w:tcW w:w="1248"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263"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78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0.29</w:t>
            </w:r>
          </w:p>
        </w:tc>
        <w:tc>
          <w:tcPr>
            <w:tcW w:w="1892" w:type="dxa"/>
            <w:tcBorders>
              <w:right w:val="single" w:sz="4" w:space="0" w:color="000000"/>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0.65</w:t>
            </w:r>
          </w:p>
        </w:tc>
      </w:tr>
      <w:tr w:rsidR="00B35F2B" w:rsidRPr="00B35F2B" w:rsidTr="00B35F2B">
        <w:trPr>
          <w:gridAfter w:val="9"/>
          <w:wAfter w:w="14004" w:type="dxa"/>
          <w:trHeight w:val="227"/>
        </w:trPr>
        <w:tc>
          <w:tcPr>
            <w:tcW w:w="1138" w:type="dxa"/>
            <w:tcBorders>
              <w:left w:val="single" w:sz="4" w:space="0" w:color="000000"/>
            </w:tcBorders>
            <w:shd w:val="clear" w:color="auto" w:fill="D9D9D9" w:themeFill="background1" w:themeFillShade="D9"/>
            <w:vAlign w:val="bottom"/>
          </w:tcPr>
          <w:p w:rsidR="00B35F2B" w:rsidRPr="00B633C5" w:rsidRDefault="00B35F2B" w:rsidP="00B633C5">
            <w:pPr>
              <w:snapToGrid w:val="0"/>
              <w:ind w:left="24" w:right="8"/>
              <w:jc w:val="center"/>
              <w:rPr>
                <w:rFonts w:ascii="Palatino Linotype" w:hAnsi="Palatino Linotype"/>
                <w:i/>
                <w:sz w:val="14"/>
                <w:szCs w:val="14"/>
                <w:lang w:val="en-GB"/>
              </w:rPr>
            </w:pPr>
            <w:r w:rsidRPr="00B633C5">
              <w:rPr>
                <w:rFonts w:ascii="Palatino Linotype" w:hAnsi="Palatino Linotype"/>
                <w:i/>
                <w:sz w:val="14"/>
                <w:szCs w:val="14"/>
                <w:lang w:val="en-GB"/>
              </w:rPr>
              <w:t>11/16</w:t>
            </w:r>
          </w:p>
        </w:tc>
        <w:tc>
          <w:tcPr>
            <w:tcW w:w="1262"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0.86</w:t>
            </w:r>
          </w:p>
        </w:tc>
        <w:tc>
          <w:tcPr>
            <w:tcW w:w="1263"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0.69</w:t>
            </w:r>
          </w:p>
        </w:tc>
        <w:tc>
          <w:tcPr>
            <w:tcW w:w="1248"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0.03</w:t>
            </w:r>
          </w:p>
        </w:tc>
        <w:tc>
          <w:tcPr>
            <w:tcW w:w="2036"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0.69</w:t>
            </w:r>
          </w:p>
        </w:tc>
        <w:tc>
          <w:tcPr>
            <w:tcW w:w="1216"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-0.48</w:t>
            </w:r>
          </w:p>
        </w:tc>
        <w:tc>
          <w:tcPr>
            <w:tcW w:w="1248"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263"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78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-0.26</w:t>
            </w:r>
          </w:p>
        </w:tc>
        <w:tc>
          <w:tcPr>
            <w:tcW w:w="1892" w:type="dxa"/>
            <w:tcBorders>
              <w:right w:val="single" w:sz="4" w:space="0" w:color="000000"/>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0.47</w:t>
            </w:r>
          </w:p>
        </w:tc>
      </w:tr>
      <w:tr w:rsidR="00B35F2B" w:rsidRPr="00B35F2B" w:rsidTr="00B35F2B">
        <w:trPr>
          <w:gridAfter w:val="9"/>
          <w:wAfter w:w="14004" w:type="dxa"/>
          <w:trHeight w:val="227"/>
        </w:trPr>
        <w:tc>
          <w:tcPr>
            <w:tcW w:w="1138" w:type="dxa"/>
            <w:tcBorders>
              <w:left w:val="single" w:sz="4" w:space="0" w:color="000000"/>
              <w:bottom w:val="single" w:sz="4" w:space="0" w:color="000000"/>
            </w:tcBorders>
            <w:shd w:val="clear" w:color="auto" w:fill="D9D9D9" w:themeFill="background1" w:themeFillShade="D9"/>
            <w:vAlign w:val="bottom"/>
          </w:tcPr>
          <w:p w:rsidR="00B35F2B" w:rsidRPr="00B633C5" w:rsidRDefault="00B35F2B" w:rsidP="00B633C5">
            <w:pPr>
              <w:snapToGrid w:val="0"/>
              <w:ind w:left="24" w:right="8"/>
              <w:jc w:val="center"/>
              <w:rPr>
                <w:rFonts w:ascii="Palatino Linotype" w:hAnsi="Palatino Linotype"/>
                <w:i/>
                <w:sz w:val="14"/>
                <w:szCs w:val="14"/>
                <w:lang w:val="en-GB"/>
              </w:rPr>
            </w:pPr>
            <w:r w:rsidRPr="00B633C5">
              <w:rPr>
                <w:rFonts w:ascii="Palatino Linotype" w:hAnsi="Palatino Linotype"/>
                <w:i/>
                <w:sz w:val="14"/>
                <w:szCs w:val="14"/>
                <w:lang w:val="en-GB"/>
              </w:rPr>
              <w:t>12/16</w:t>
            </w:r>
          </w:p>
        </w:tc>
        <w:tc>
          <w:tcPr>
            <w:tcW w:w="1262" w:type="dxa"/>
            <w:tcBorders>
              <w:bottom w:val="single" w:sz="4" w:space="0" w:color="000000"/>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0.94</w:t>
            </w:r>
          </w:p>
        </w:tc>
        <w:tc>
          <w:tcPr>
            <w:tcW w:w="1263" w:type="dxa"/>
            <w:tcBorders>
              <w:bottom w:val="single" w:sz="4" w:space="0" w:color="000000"/>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0.73</w:t>
            </w:r>
          </w:p>
        </w:tc>
        <w:tc>
          <w:tcPr>
            <w:tcW w:w="1248" w:type="dxa"/>
            <w:tcBorders>
              <w:bottom w:val="single" w:sz="4" w:space="0" w:color="000000"/>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0.17</w:t>
            </w:r>
          </w:p>
        </w:tc>
        <w:tc>
          <w:tcPr>
            <w:tcW w:w="2036" w:type="dxa"/>
            <w:tcBorders>
              <w:bottom w:val="single" w:sz="4" w:space="0" w:color="000000"/>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0.76</w:t>
            </w:r>
          </w:p>
        </w:tc>
        <w:tc>
          <w:tcPr>
            <w:tcW w:w="1216" w:type="dxa"/>
            <w:tcBorders>
              <w:bottom w:val="single" w:sz="4" w:space="0" w:color="000000"/>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0.94</w:t>
            </w:r>
          </w:p>
        </w:tc>
        <w:tc>
          <w:tcPr>
            <w:tcW w:w="1248" w:type="dxa"/>
            <w:tcBorders>
              <w:bottom w:val="single" w:sz="4" w:space="0" w:color="000000"/>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-11.90</w:t>
            </w:r>
          </w:p>
        </w:tc>
        <w:tc>
          <w:tcPr>
            <w:tcW w:w="1263" w:type="dxa"/>
            <w:tcBorders>
              <w:bottom w:val="single" w:sz="4" w:space="0" w:color="000000"/>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0.00</w:t>
            </w:r>
          </w:p>
        </w:tc>
        <w:tc>
          <w:tcPr>
            <w:tcW w:w="1784" w:type="dxa"/>
            <w:tcBorders>
              <w:bottom w:val="single" w:sz="4" w:space="0" w:color="000000"/>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-3.27</w:t>
            </w:r>
          </w:p>
        </w:tc>
        <w:tc>
          <w:tcPr>
            <w:tcW w:w="1892" w:type="dxa"/>
            <w:tcBorders>
              <w:bottom w:val="single" w:sz="4" w:space="0" w:color="000000"/>
              <w:right w:val="single" w:sz="4" w:space="0" w:color="000000"/>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-0.19</w:t>
            </w:r>
          </w:p>
        </w:tc>
      </w:tr>
      <w:tr w:rsidR="00B633C5" w:rsidTr="008B36E6">
        <w:trPr>
          <w:trHeight w:val="227"/>
        </w:trPr>
        <w:tc>
          <w:tcPr>
            <w:tcW w:w="14350" w:type="dxa"/>
            <w:gridSpan w:val="10"/>
            <w:tcBorders>
              <w:left w:val="single" w:sz="4" w:space="0" w:color="000000"/>
              <w:bottom w:val="single" w:sz="4" w:space="0" w:color="000000"/>
              <w:right w:val="single" w:sz="4" w:space="0" w:color="000000"/>
            </w:tcBorders>
            <w:vAlign w:val="center"/>
          </w:tcPr>
          <w:p w:rsidR="00B633C5" w:rsidRDefault="00B633C5" w:rsidP="005E792D">
            <w:pPr>
              <w:pStyle w:val="Piedecuadro"/>
              <w:spacing w:line="240" w:lineRule="auto"/>
              <w:rPr>
                <w:rFonts w:ascii="Palatino Linotype" w:hAnsi="Palatino Linotype"/>
                <w:i/>
                <w:sz w:val="14"/>
                <w:szCs w:val="14"/>
              </w:rPr>
            </w:pPr>
            <w:r>
              <w:rPr>
                <w:rFonts w:ascii="Palatino Linotype" w:hAnsi="Palatino Linotype"/>
                <w:b/>
                <w:bCs/>
                <w:i/>
                <w:sz w:val="14"/>
                <w:szCs w:val="14"/>
              </w:rPr>
              <w:t xml:space="preserve"> </w:t>
            </w:r>
            <w:r>
              <w:rPr>
                <w:rFonts w:ascii="Palatino Linotype" w:hAnsi="Palatino Linotype"/>
                <w:i/>
                <w:sz w:val="14"/>
                <w:szCs w:val="14"/>
              </w:rPr>
              <w:t>Fuente: Predicciones elaboradas por</w:t>
            </w:r>
            <w:r>
              <w:rPr>
                <w:rFonts w:ascii="Arial Black" w:hAnsi="Arial Black"/>
                <w:color w:val="99284C"/>
                <w:sz w:val="14"/>
                <w:szCs w:val="14"/>
              </w:rPr>
              <w:t xml:space="preserve"> </w:t>
            </w:r>
            <w:proofErr w:type="spellStart"/>
            <w:r>
              <w:rPr>
                <w:rFonts w:ascii="Arial Black" w:hAnsi="Arial Black"/>
                <w:color w:val="99284C"/>
                <w:sz w:val="14"/>
                <w:szCs w:val="14"/>
              </w:rPr>
              <w:t>cinve</w:t>
            </w:r>
            <w:proofErr w:type="spellEnd"/>
            <w:r>
              <w:rPr>
                <w:rFonts w:ascii="Palatino Linotype" w:hAnsi="Palatino Linotype"/>
                <w:i/>
                <w:sz w:val="14"/>
                <w:szCs w:val="14"/>
              </w:rPr>
              <w:t xml:space="preserve"> al </w:t>
            </w:r>
            <w:r w:rsidR="007944A0">
              <w:rPr>
                <w:rFonts w:ascii="Palatino Linotype" w:hAnsi="Palatino Linotype"/>
                <w:sz w:val="14"/>
                <w:szCs w:val="14"/>
              </w:rPr>
              <w:t>2</w:t>
            </w:r>
            <w:r w:rsidR="003D6F25">
              <w:rPr>
                <w:rFonts w:ascii="Palatino Linotype" w:hAnsi="Palatino Linotype"/>
                <w:sz w:val="14"/>
                <w:szCs w:val="14"/>
              </w:rPr>
              <w:t>4</w:t>
            </w:r>
            <w:r>
              <w:rPr>
                <w:rFonts w:ascii="Palatino Linotype" w:hAnsi="Palatino Linotype"/>
                <w:sz w:val="14"/>
                <w:szCs w:val="14"/>
              </w:rPr>
              <w:t>/0</w:t>
            </w:r>
            <w:r w:rsidR="003D6F25">
              <w:rPr>
                <w:rFonts w:ascii="Palatino Linotype" w:hAnsi="Palatino Linotype"/>
                <w:sz w:val="14"/>
                <w:szCs w:val="14"/>
              </w:rPr>
              <w:t>8</w:t>
            </w:r>
            <w:r>
              <w:rPr>
                <w:rFonts w:ascii="Palatino Linotype" w:hAnsi="Palatino Linotype"/>
                <w:sz w:val="14"/>
                <w:szCs w:val="14"/>
              </w:rPr>
              <w:t>/2016</w:t>
            </w:r>
            <w:r>
              <w:rPr>
                <w:rFonts w:ascii="Palatino Linotype" w:hAnsi="Palatino Linotype"/>
                <w:i/>
                <w:sz w:val="14"/>
                <w:szCs w:val="14"/>
              </w:rPr>
              <w:t>.</w:t>
            </w:r>
          </w:p>
          <w:p w:rsidR="00B633C5" w:rsidRDefault="00B633C5" w:rsidP="005E792D">
            <w:pPr>
              <w:pStyle w:val="Piedecuadro"/>
              <w:spacing w:line="240" w:lineRule="auto"/>
            </w:pPr>
          </w:p>
          <w:p w:rsidR="00B633C5" w:rsidRDefault="00B633C5" w:rsidP="005E792D">
            <w:pPr>
              <w:pStyle w:val="Piedecuadro"/>
              <w:snapToGrid w:val="0"/>
              <w:spacing w:line="240" w:lineRule="auto"/>
              <w:rPr>
                <w:rFonts w:ascii="Palatino Linotype" w:eastAsia="Times New Roman" w:hAnsi="Palatino Linotype"/>
                <w:sz w:val="14"/>
                <w:szCs w:val="14"/>
              </w:rPr>
            </w:pPr>
            <w:r>
              <w:rPr>
                <w:rFonts w:ascii="Palatino Linotype" w:eastAsia="Times New Roman" w:hAnsi="Palatino Linotype"/>
                <w:sz w:val="14"/>
                <w:szCs w:val="14"/>
              </w:rPr>
              <w:t xml:space="preserve"> BENE: Bienes Elaborados No Energéticos. </w:t>
            </w:r>
          </w:p>
          <w:p w:rsidR="00B633C5" w:rsidRDefault="00B633C5" w:rsidP="005E792D">
            <w:pPr>
              <w:pStyle w:val="Piedecuadro"/>
              <w:snapToGrid w:val="0"/>
              <w:spacing w:line="240" w:lineRule="auto"/>
              <w:rPr>
                <w:rFonts w:ascii="Palatino Linotype" w:eastAsia="Times New Roman" w:hAnsi="Palatino Linotype"/>
                <w:sz w:val="14"/>
                <w:szCs w:val="14"/>
              </w:rPr>
            </w:pPr>
            <w:r>
              <w:rPr>
                <w:rFonts w:ascii="Palatino Linotype" w:eastAsia="Times New Roman" w:hAnsi="Palatino Linotype"/>
                <w:sz w:val="14"/>
                <w:szCs w:val="14"/>
              </w:rPr>
              <w:t xml:space="preserve"> </w:t>
            </w:r>
            <w:proofErr w:type="spellStart"/>
            <w:r>
              <w:rPr>
                <w:rFonts w:ascii="Palatino Linotype" w:eastAsia="Times New Roman" w:hAnsi="Palatino Linotype"/>
                <w:sz w:val="14"/>
                <w:szCs w:val="14"/>
              </w:rPr>
              <w:t>SERVnoA</w:t>
            </w:r>
            <w:proofErr w:type="spellEnd"/>
            <w:r>
              <w:rPr>
                <w:rFonts w:ascii="Palatino Linotype" w:eastAsia="Times New Roman" w:hAnsi="Palatino Linotype"/>
                <w:sz w:val="14"/>
                <w:szCs w:val="14"/>
              </w:rPr>
              <w:t xml:space="preserve">: Servicios No Administrados </w:t>
            </w:r>
          </w:p>
          <w:p w:rsidR="00B633C5" w:rsidRDefault="00B633C5" w:rsidP="005E792D">
            <w:pPr>
              <w:pStyle w:val="Piedecuadro"/>
              <w:snapToGrid w:val="0"/>
              <w:spacing w:line="240" w:lineRule="auto"/>
              <w:rPr>
                <w:rFonts w:ascii="Palatino Linotype" w:eastAsia="Times New Roman" w:hAnsi="Palatino Linotype"/>
                <w:sz w:val="14"/>
                <w:szCs w:val="14"/>
              </w:rPr>
            </w:pPr>
            <w:r>
              <w:rPr>
                <w:rFonts w:ascii="Palatino Linotype" w:eastAsia="Times New Roman" w:hAnsi="Palatino Linotype"/>
                <w:sz w:val="14"/>
                <w:szCs w:val="14"/>
              </w:rPr>
              <w:t xml:space="preserve"> </w:t>
            </w:r>
            <w:proofErr w:type="spellStart"/>
            <w:r>
              <w:rPr>
                <w:rFonts w:ascii="Palatino Linotype" w:eastAsia="Times New Roman" w:hAnsi="Palatino Linotype"/>
                <w:sz w:val="14"/>
                <w:szCs w:val="14"/>
              </w:rPr>
              <w:t>SerVAd</w:t>
            </w:r>
            <w:proofErr w:type="spellEnd"/>
            <w:r>
              <w:rPr>
                <w:rFonts w:ascii="Palatino Linotype" w:eastAsia="Times New Roman" w:hAnsi="Palatino Linotype"/>
                <w:sz w:val="14"/>
                <w:szCs w:val="14"/>
              </w:rPr>
              <w:t>: Servicios Administrados</w:t>
            </w:r>
          </w:p>
          <w:p w:rsidR="00B633C5" w:rsidRDefault="00B633C5" w:rsidP="005E792D">
            <w:pPr>
              <w:pStyle w:val="Piedecuadro"/>
              <w:snapToGrid w:val="0"/>
              <w:spacing w:line="240" w:lineRule="auto"/>
              <w:rPr>
                <w:rFonts w:ascii="Palatino Linotype" w:eastAsia="Times New Roman" w:hAnsi="Palatino Linotype"/>
                <w:sz w:val="14"/>
                <w:szCs w:val="14"/>
              </w:rPr>
            </w:pPr>
            <w:r>
              <w:rPr>
                <w:rFonts w:ascii="Palatino Linotype" w:eastAsia="Times New Roman" w:hAnsi="Palatino Linotype"/>
                <w:sz w:val="14"/>
                <w:szCs w:val="14"/>
              </w:rPr>
              <w:t xml:space="preserve"> ANE: Alimentos No Elaborados.</w:t>
            </w:r>
          </w:p>
          <w:p w:rsidR="00B633C5" w:rsidRDefault="00B633C5" w:rsidP="005E792D">
            <w:pPr>
              <w:pStyle w:val="Piedecuadro"/>
              <w:snapToGrid w:val="0"/>
              <w:spacing w:line="240" w:lineRule="auto"/>
              <w:rPr>
                <w:rFonts w:ascii="Palatino Linotype" w:eastAsia="Times New Roman" w:hAnsi="Palatino Linotype"/>
                <w:sz w:val="14"/>
                <w:szCs w:val="14"/>
              </w:rPr>
            </w:pPr>
            <w:r>
              <w:rPr>
                <w:rFonts w:ascii="Palatino Linotype" w:eastAsia="Times New Roman" w:hAnsi="Palatino Linotype"/>
                <w:sz w:val="14"/>
                <w:szCs w:val="14"/>
              </w:rPr>
              <w:t xml:space="preserve"> ENE: Energéticos.</w:t>
            </w:r>
          </w:p>
          <w:p w:rsidR="00B633C5" w:rsidRDefault="00B633C5" w:rsidP="005E792D">
            <w:pPr>
              <w:pStyle w:val="Piedecuadro"/>
              <w:snapToGrid w:val="0"/>
              <w:spacing w:line="240" w:lineRule="auto"/>
              <w:rPr>
                <w:rFonts w:ascii="Palatino Linotype" w:eastAsia="Times New Roman" w:hAnsi="Palatino Linotype"/>
                <w:sz w:val="14"/>
                <w:szCs w:val="14"/>
              </w:rPr>
            </w:pPr>
            <w:proofErr w:type="spellStart"/>
            <w:r>
              <w:rPr>
                <w:rFonts w:ascii="Palatino Linotype" w:hAnsi="Palatino Linotype"/>
                <w:bCs/>
                <w:sz w:val="14"/>
                <w:szCs w:val="14"/>
              </w:rPr>
              <w:t>SERVPub</w:t>
            </w:r>
            <w:proofErr w:type="spellEnd"/>
            <w:r>
              <w:rPr>
                <w:rFonts w:ascii="Palatino Linotype" w:hAnsi="Palatino Linotype"/>
                <w:bCs/>
                <w:sz w:val="14"/>
                <w:szCs w:val="14"/>
              </w:rPr>
              <w:t>: Servicios administrados públicos.</w:t>
            </w:r>
          </w:p>
        </w:tc>
        <w:tc>
          <w:tcPr>
            <w:tcW w:w="1556" w:type="dxa"/>
            <w:vAlign w:val="bottom"/>
          </w:tcPr>
          <w:p w:rsidR="00B633C5" w:rsidRDefault="00B633C5">
            <w:pPr>
              <w:jc w:val="center"/>
              <w:rPr>
                <w:rFonts w:ascii="Arial" w:hAnsi="Arial" w:cs="Arial"/>
                <w:sz w:val="20"/>
                <w:szCs w:val="20"/>
              </w:rPr>
            </w:pPr>
          </w:p>
        </w:tc>
        <w:tc>
          <w:tcPr>
            <w:tcW w:w="1556" w:type="dxa"/>
            <w:vAlign w:val="bottom"/>
          </w:tcPr>
          <w:p w:rsidR="00B633C5" w:rsidRDefault="00B633C5">
            <w:pPr>
              <w:jc w:val="center"/>
              <w:rPr>
                <w:rFonts w:ascii="Arial" w:hAnsi="Arial" w:cs="Arial"/>
                <w:sz w:val="20"/>
                <w:szCs w:val="20"/>
              </w:rPr>
            </w:pPr>
          </w:p>
        </w:tc>
        <w:tc>
          <w:tcPr>
            <w:tcW w:w="1556" w:type="dxa"/>
            <w:vAlign w:val="bottom"/>
          </w:tcPr>
          <w:p w:rsidR="00B633C5" w:rsidRDefault="00B633C5">
            <w:pPr>
              <w:jc w:val="center"/>
              <w:rPr>
                <w:rFonts w:ascii="Arial" w:hAnsi="Arial" w:cs="Arial"/>
                <w:sz w:val="20"/>
                <w:szCs w:val="20"/>
              </w:rPr>
            </w:pPr>
            <w:r>
              <w:rPr>
                <w:rFonts w:ascii="Arial" w:hAnsi="Arial" w:cs="Arial"/>
                <w:sz w:val="20"/>
                <w:szCs w:val="20"/>
              </w:rPr>
              <w:t>0.15</w:t>
            </w:r>
          </w:p>
        </w:tc>
        <w:tc>
          <w:tcPr>
            <w:tcW w:w="1556" w:type="dxa"/>
            <w:vAlign w:val="bottom"/>
          </w:tcPr>
          <w:p w:rsidR="00B633C5" w:rsidRDefault="00B633C5">
            <w:pPr>
              <w:jc w:val="center"/>
              <w:rPr>
                <w:rFonts w:ascii="Arial" w:hAnsi="Arial" w:cs="Arial"/>
                <w:sz w:val="20"/>
                <w:szCs w:val="20"/>
              </w:rPr>
            </w:pPr>
            <w:r>
              <w:rPr>
                <w:rFonts w:ascii="Arial" w:hAnsi="Arial" w:cs="Arial"/>
                <w:sz w:val="20"/>
                <w:szCs w:val="20"/>
              </w:rPr>
              <w:t>0.51</w:t>
            </w:r>
          </w:p>
        </w:tc>
        <w:tc>
          <w:tcPr>
            <w:tcW w:w="1556" w:type="dxa"/>
            <w:vAlign w:val="bottom"/>
          </w:tcPr>
          <w:p w:rsidR="00B633C5" w:rsidRDefault="00B633C5">
            <w:pPr>
              <w:jc w:val="center"/>
              <w:rPr>
                <w:rFonts w:ascii="Arial" w:hAnsi="Arial" w:cs="Arial"/>
                <w:sz w:val="20"/>
                <w:szCs w:val="20"/>
              </w:rPr>
            </w:pPr>
            <w:r>
              <w:rPr>
                <w:rFonts w:ascii="Arial" w:hAnsi="Arial" w:cs="Arial"/>
                <w:sz w:val="20"/>
                <w:szCs w:val="20"/>
              </w:rPr>
              <w:t>0.05</w:t>
            </w:r>
          </w:p>
        </w:tc>
        <w:tc>
          <w:tcPr>
            <w:tcW w:w="1556" w:type="dxa"/>
            <w:vAlign w:val="bottom"/>
          </w:tcPr>
          <w:p w:rsidR="00B633C5" w:rsidRDefault="00B633C5">
            <w:pPr>
              <w:jc w:val="center"/>
              <w:rPr>
                <w:rFonts w:ascii="Arial" w:hAnsi="Arial" w:cs="Arial"/>
                <w:sz w:val="20"/>
                <w:szCs w:val="20"/>
              </w:rPr>
            </w:pPr>
            <w:r>
              <w:rPr>
                <w:rFonts w:ascii="Arial" w:hAnsi="Arial" w:cs="Arial"/>
                <w:sz w:val="20"/>
                <w:szCs w:val="20"/>
              </w:rPr>
              <w:t>0.00</w:t>
            </w:r>
          </w:p>
        </w:tc>
        <w:tc>
          <w:tcPr>
            <w:tcW w:w="1556" w:type="dxa"/>
            <w:vAlign w:val="bottom"/>
          </w:tcPr>
          <w:p w:rsidR="00B633C5" w:rsidRDefault="00B633C5">
            <w:pPr>
              <w:jc w:val="center"/>
              <w:rPr>
                <w:rFonts w:ascii="Arial" w:hAnsi="Arial" w:cs="Arial"/>
                <w:sz w:val="20"/>
                <w:szCs w:val="20"/>
              </w:rPr>
            </w:pPr>
            <w:r>
              <w:rPr>
                <w:rFonts w:ascii="Arial" w:hAnsi="Arial" w:cs="Arial"/>
                <w:sz w:val="20"/>
                <w:szCs w:val="20"/>
              </w:rPr>
              <w:t>0.00</w:t>
            </w:r>
          </w:p>
        </w:tc>
        <w:tc>
          <w:tcPr>
            <w:tcW w:w="1556" w:type="dxa"/>
            <w:vAlign w:val="bottom"/>
          </w:tcPr>
          <w:p w:rsidR="00B633C5" w:rsidRDefault="00B633C5">
            <w:pPr>
              <w:jc w:val="center"/>
              <w:rPr>
                <w:rFonts w:ascii="Arial" w:hAnsi="Arial" w:cs="Arial"/>
                <w:sz w:val="20"/>
                <w:szCs w:val="20"/>
              </w:rPr>
            </w:pPr>
            <w:r>
              <w:rPr>
                <w:rFonts w:ascii="Arial" w:hAnsi="Arial" w:cs="Arial"/>
                <w:sz w:val="20"/>
                <w:szCs w:val="20"/>
              </w:rPr>
              <w:t>0.03</w:t>
            </w:r>
          </w:p>
        </w:tc>
        <w:tc>
          <w:tcPr>
            <w:tcW w:w="1556" w:type="dxa"/>
            <w:vAlign w:val="bottom"/>
          </w:tcPr>
          <w:p w:rsidR="00B633C5" w:rsidRDefault="00B633C5">
            <w:pPr>
              <w:jc w:val="center"/>
              <w:rPr>
                <w:rFonts w:ascii="Arial" w:hAnsi="Arial" w:cs="Arial"/>
                <w:sz w:val="20"/>
                <w:szCs w:val="20"/>
              </w:rPr>
            </w:pPr>
            <w:r>
              <w:rPr>
                <w:rFonts w:ascii="Arial" w:hAnsi="Arial" w:cs="Arial"/>
                <w:sz w:val="20"/>
                <w:szCs w:val="20"/>
              </w:rPr>
              <w:t>0.39</w:t>
            </w:r>
          </w:p>
        </w:tc>
      </w:tr>
    </w:tbl>
    <w:p w:rsidR="005A1572" w:rsidRDefault="00B34E0B" w:rsidP="005A1572">
      <w:pPr>
        <w:pStyle w:val="Piedecuadro"/>
        <w:pageBreakBefore/>
        <w:spacing w:line="240" w:lineRule="auto"/>
        <w:jc w:val="center"/>
        <w:rPr>
          <w:rFonts w:ascii="Palatino Linotype" w:hAnsi="Palatino Linotype"/>
          <w:b/>
          <w:color w:val="000000"/>
          <w:sz w:val="14"/>
          <w:szCs w:val="14"/>
        </w:rPr>
      </w:pPr>
      <w:r>
        <w:rPr>
          <w:rFonts w:ascii="Palatino Linotype" w:hAnsi="Palatino Linotype"/>
          <w:b/>
          <w:noProof/>
          <w:color w:val="000000"/>
          <w:sz w:val="14"/>
          <w:szCs w:val="14"/>
          <w:lang w:val="es-ES" w:eastAsia="es-ES"/>
        </w:rPr>
        <w:lastRenderedPageBreak/>
        <w:drawing>
          <wp:anchor distT="0" distB="0" distL="114300" distR="114300" simplePos="0" relativeHeight="251654144" behindDoc="1" locked="0" layoutInCell="1" allowOverlap="1">
            <wp:simplePos x="0" y="0"/>
            <wp:positionH relativeFrom="column">
              <wp:posOffset>-1231900</wp:posOffset>
            </wp:positionH>
            <wp:positionV relativeFrom="paragraph">
              <wp:posOffset>-1143000</wp:posOffset>
            </wp:positionV>
            <wp:extent cx="797560" cy="7993380"/>
            <wp:effectExtent l="19050" t="0" r="2540" b="0"/>
            <wp:wrapNone/>
            <wp:docPr id="1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7" cstate="print"/>
                    <a:srcRect/>
                    <a:stretch>
                      <a:fillRect/>
                    </a:stretch>
                  </pic:blipFill>
                  <pic:spPr bwMode="auto">
                    <a:xfrm>
                      <a:off x="0" y="0"/>
                      <a:ext cx="797560" cy="7993380"/>
                    </a:xfrm>
                    <a:prstGeom prst="rect">
                      <a:avLst/>
                    </a:prstGeom>
                    <a:noFill/>
                    <a:ln w="9525">
                      <a:noFill/>
                      <a:miter lim="800000"/>
                      <a:headEnd/>
                      <a:tailEnd/>
                    </a:ln>
                  </pic:spPr>
                </pic:pic>
              </a:graphicData>
            </a:graphic>
          </wp:anchor>
        </w:drawing>
      </w:r>
    </w:p>
    <w:tbl>
      <w:tblPr>
        <w:tblW w:w="28347" w:type="dxa"/>
        <w:tblInd w:w="66" w:type="dxa"/>
        <w:tblLayout w:type="fixed"/>
        <w:tblCellMar>
          <w:left w:w="0" w:type="dxa"/>
          <w:right w:w="0" w:type="dxa"/>
        </w:tblCellMar>
        <w:tblLook w:val="0000"/>
      </w:tblPr>
      <w:tblGrid>
        <w:gridCol w:w="1121"/>
        <w:gridCol w:w="1247"/>
        <w:gridCol w:w="1264"/>
        <w:gridCol w:w="1265"/>
        <w:gridCol w:w="2035"/>
        <w:gridCol w:w="1231"/>
        <w:gridCol w:w="1248"/>
        <w:gridCol w:w="1247"/>
        <w:gridCol w:w="1784"/>
        <w:gridCol w:w="1901"/>
        <w:gridCol w:w="1556"/>
        <w:gridCol w:w="1556"/>
        <w:gridCol w:w="1556"/>
        <w:gridCol w:w="1556"/>
        <w:gridCol w:w="1556"/>
        <w:gridCol w:w="1556"/>
        <w:gridCol w:w="1556"/>
        <w:gridCol w:w="1556"/>
        <w:gridCol w:w="1556"/>
      </w:tblGrid>
      <w:tr w:rsidR="00BB13FD" w:rsidTr="00531F6E">
        <w:trPr>
          <w:gridAfter w:val="9"/>
          <w:wAfter w:w="14004" w:type="dxa"/>
          <w:cantSplit/>
          <w:trHeight w:val="404"/>
        </w:trPr>
        <w:tc>
          <w:tcPr>
            <w:tcW w:w="14343" w:type="dxa"/>
            <w:gridSpan w:val="10"/>
            <w:tcBorders>
              <w:top w:val="single" w:sz="4" w:space="0" w:color="auto"/>
              <w:left w:val="single" w:sz="4" w:space="0" w:color="auto"/>
              <w:bottom w:val="single" w:sz="4" w:space="0" w:color="auto"/>
              <w:right w:val="single" w:sz="4" w:space="0" w:color="auto"/>
            </w:tcBorders>
            <w:vAlign w:val="center"/>
          </w:tcPr>
          <w:p w:rsidR="005A1572" w:rsidRDefault="005A1572" w:rsidP="00077F19">
            <w:pPr>
              <w:pStyle w:val="Piedecuadro"/>
              <w:keepNext/>
              <w:keepLines/>
              <w:snapToGrid w:val="0"/>
              <w:spacing w:line="240" w:lineRule="auto"/>
              <w:ind w:right="124"/>
              <w:jc w:val="right"/>
              <w:rPr>
                <w:rFonts w:ascii="Palatino Linotype" w:hAnsi="Palatino Linotype"/>
                <w:b/>
                <w:i/>
                <w:iCs/>
                <w:color w:val="99284C"/>
                <w:sz w:val="16"/>
                <w:szCs w:val="16"/>
              </w:rPr>
            </w:pPr>
            <w:r>
              <w:rPr>
                <w:rFonts w:ascii="Palatino Linotype" w:hAnsi="Palatino Linotype"/>
                <w:b/>
                <w:i/>
                <w:iCs/>
                <w:color w:val="99284C"/>
                <w:sz w:val="16"/>
                <w:szCs w:val="16"/>
              </w:rPr>
              <w:t>Cuadro</w:t>
            </w:r>
            <w:r w:rsidR="00077F19">
              <w:rPr>
                <w:rFonts w:ascii="Palatino Linotype" w:hAnsi="Palatino Linotype"/>
                <w:b/>
                <w:i/>
                <w:iCs/>
                <w:color w:val="99284C"/>
                <w:sz w:val="16"/>
                <w:szCs w:val="16"/>
                <w:lang w:val="es-ES_tradnl"/>
              </w:rPr>
              <w:t xml:space="preserve"> Estadístico </w:t>
            </w:r>
            <w:r>
              <w:rPr>
                <w:rFonts w:ascii="Palatino Linotype" w:hAnsi="Palatino Linotype"/>
                <w:b/>
                <w:i/>
                <w:iCs/>
                <w:color w:val="99284C"/>
                <w:sz w:val="16"/>
                <w:szCs w:val="16"/>
              </w:rPr>
              <w:t>4</w:t>
            </w:r>
          </w:p>
        </w:tc>
      </w:tr>
      <w:tr w:rsidR="00BB13FD" w:rsidTr="00531F6E">
        <w:trPr>
          <w:gridAfter w:val="9"/>
          <w:wAfter w:w="14004" w:type="dxa"/>
          <w:cantSplit/>
          <w:trHeight w:val="496"/>
        </w:trPr>
        <w:tc>
          <w:tcPr>
            <w:tcW w:w="14343"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5A1572" w:rsidRDefault="005A1572" w:rsidP="005E792D">
            <w:pPr>
              <w:pStyle w:val="Piedecuadro"/>
              <w:keepNext/>
              <w:keepLines/>
              <w:snapToGrid w:val="0"/>
              <w:spacing w:line="240" w:lineRule="auto"/>
              <w:jc w:val="center"/>
              <w:rPr>
                <w:rFonts w:ascii="Palatino Linotype" w:hAnsi="Palatino Linotype"/>
                <w:b/>
                <w:color w:val="000000"/>
                <w:sz w:val="18"/>
                <w:szCs w:val="18"/>
              </w:rPr>
            </w:pPr>
            <w:r>
              <w:rPr>
                <w:rFonts w:ascii="Palatino Linotype" w:hAnsi="Palatino Linotype"/>
                <w:b/>
                <w:color w:val="000000"/>
                <w:sz w:val="18"/>
                <w:szCs w:val="18"/>
              </w:rPr>
              <w:t xml:space="preserve"> Predicciones de inflación, tasas de variación </w:t>
            </w:r>
            <w:r w:rsidR="00C402A0">
              <w:rPr>
                <w:rFonts w:ascii="Palatino Linotype" w:hAnsi="Palatino Linotype"/>
                <w:b/>
                <w:color w:val="000000"/>
                <w:sz w:val="18"/>
                <w:szCs w:val="18"/>
              </w:rPr>
              <w:t>inter</w:t>
            </w:r>
            <w:r>
              <w:rPr>
                <w:rFonts w:ascii="Palatino Linotype" w:hAnsi="Palatino Linotype"/>
                <w:b/>
                <w:color w:val="000000"/>
                <w:sz w:val="18"/>
                <w:szCs w:val="18"/>
              </w:rPr>
              <w:t>anual</w:t>
            </w:r>
          </w:p>
        </w:tc>
      </w:tr>
      <w:tr w:rsidR="00BB13FD" w:rsidTr="00531F6E">
        <w:trPr>
          <w:gridAfter w:val="9"/>
          <w:wAfter w:w="14004" w:type="dxa"/>
          <w:cantSplit/>
          <w:trHeight w:val="332"/>
        </w:trPr>
        <w:tc>
          <w:tcPr>
            <w:tcW w:w="1121" w:type="dxa"/>
            <w:tcBorders>
              <w:top w:val="single" w:sz="4" w:space="0" w:color="auto"/>
              <w:left w:val="single" w:sz="4" w:space="0" w:color="auto"/>
              <w:bottom w:val="single" w:sz="4" w:space="0" w:color="auto"/>
              <w:right w:val="single" w:sz="4" w:space="0" w:color="auto"/>
            </w:tcBorders>
            <w:vAlign w:val="center"/>
          </w:tcPr>
          <w:p w:rsidR="005A1572" w:rsidRDefault="005A1572" w:rsidP="005E792D">
            <w:pPr>
              <w:keepNext/>
              <w:keepLines/>
              <w:snapToGrid w:val="0"/>
              <w:jc w:val="center"/>
              <w:rPr>
                <w:rFonts w:ascii="Palatino Linotype" w:hAnsi="Palatino Linotype"/>
                <w:color w:val="000000"/>
                <w:sz w:val="14"/>
                <w:szCs w:val="14"/>
                <w:lang w:val="es-UY"/>
              </w:rPr>
            </w:pPr>
          </w:p>
        </w:tc>
        <w:tc>
          <w:tcPr>
            <w:tcW w:w="13222" w:type="dxa"/>
            <w:gridSpan w:val="9"/>
            <w:tcBorders>
              <w:top w:val="single" w:sz="4" w:space="0" w:color="auto"/>
              <w:left w:val="single" w:sz="4" w:space="0" w:color="auto"/>
              <w:bottom w:val="single" w:sz="4" w:space="0" w:color="auto"/>
              <w:right w:val="single" w:sz="4" w:space="0" w:color="auto"/>
            </w:tcBorders>
            <w:vAlign w:val="center"/>
          </w:tcPr>
          <w:p w:rsidR="005A1572" w:rsidRDefault="00F2654F" w:rsidP="005E792D">
            <w:pPr>
              <w:keepNext/>
              <w:keepLines/>
              <w:snapToGrid w:val="0"/>
              <w:jc w:val="center"/>
              <w:rPr>
                <w:rFonts w:ascii="Palatino Linotype" w:hAnsi="Palatino Linotype"/>
                <w:color w:val="000000"/>
                <w:sz w:val="14"/>
                <w:szCs w:val="14"/>
                <w:lang w:val="es-UY"/>
              </w:rPr>
            </w:pPr>
            <w:r>
              <w:rPr>
                <w:rFonts w:ascii="Palatino Linotype" w:hAnsi="Palatino Linotype"/>
                <w:color w:val="000000"/>
                <w:sz w:val="14"/>
                <w:szCs w:val="14"/>
                <w:lang w:val="es-UY"/>
              </w:rPr>
              <w:t>Índices</w:t>
            </w:r>
            <w:r w:rsidR="005A1572">
              <w:rPr>
                <w:rFonts w:ascii="Palatino Linotype" w:hAnsi="Palatino Linotype"/>
                <w:color w:val="000000"/>
                <w:sz w:val="14"/>
                <w:szCs w:val="14"/>
                <w:lang w:val="es-UY"/>
              </w:rPr>
              <w:t xml:space="preserve"> de los Precios del Consumo</w:t>
            </w:r>
          </w:p>
        </w:tc>
      </w:tr>
      <w:tr w:rsidR="00BB13FD" w:rsidTr="00531F6E">
        <w:trPr>
          <w:gridAfter w:val="9"/>
          <w:wAfter w:w="14004" w:type="dxa"/>
          <w:cantSplit/>
        </w:trPr>
        <w:tc>
          <w:tcPr>
            <w:tcW w:w="1121" w:type="dxa"/>
            <w:tcBorders>
              <w:top w:val="single" w:sz="4" w:space="0" w:color="auto"/>
              <w:left w:val="single" w:sz="4" w:space="0" w:color="auto"/>
              <w:bottom w:val="single" w:sz="4" w:space="0" w:color="auto"/>
              <w:right w:val="single" w:sz="4" w:space="0" w:color="auto"/>
            </w:tcBorders>
            <w:vAlign w:val="center"/>
          </w:tcPr>
          <w:p w:rsidR="000309DB" w:rsidRDefault="000309DB" w:rsidP="005E792D">
            <w:pPr>
              <w:keepNext/>
              <w:keepLines/>
              <w:snapToGrid w:val="0"/>
              <w:jc w:val="center"/>
              <w:rPr>
                <w:rFonts w:ascii="Palatino Linotype" w:hAnsi="Palatino Linotype"/>
                <w:color w:val="000000"/>
                <w:sz w:val="14"/>
                <w:szCs w:val="14"/>
                <w:lang w:val="es-UY"/>
              </w:rPr>
            </w:pPr>
            <w:r>
              <w:rPr>
                <w:rFonts w:ascii="Palatino Linotype" w:hAnsi="Palatino Linotype"/>
                <w:color w:val="000000"/>
                <w:sz w:val="14"/>
                <w:szCs w:val="14"/>
                <w:lang w:val="es-UY"/>
              </w:rPr>
              <w:t>Mes/Año</w:t>
            </w:r>
          </w:p>
        </w:tc>
        <w:tc>
          <w:tcPr>
            <w:tcW w:w="1247" w:type="dxa"/>
            <w:tcBorders>
              <w:top w:val="single" w:sz="4" w:space="0" w:color="auto"/>
              <w:left w:val="single" w:sz="4" w:space="0" w:color="auto"/>
              <w:bottom w:val="single" w:sz="4" w:space="0" w:color="auto"/>
              <w:right w:val="single" w:sz="4" w:space="0" w:color="auto"/>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(1) </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 xml:space="preserve">BENE </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(36,38%)</w:t>
            </w:r>
          </w:p>
        </w:tc>
        <w:tc>
          <w:tcPr>
            <w:tcW w:w="1264" w:type="dxa"/>
            <w:tcBorders>
              <w:top w:val="single" w:sz="4" w:space="0" w:color="auto"/>
              <w:left w:val="single" w:sz="4" w:space="0" w:color="auto"/>
              <w:bottom w:val="single" w:sz="4" w:space="0" w:color="auto"/>
              <w:right w:val="single" w:sz="4" w:space="0" w:color="auto"/>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(2)</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 xml:space="preserve"> </w:t>
            </w:r>
            <w:proofErr w:type="spellStart"/>
            <w:r>
              <w:rPr>
                <w:rFonts w:ascii="Palatino Linotype" w:hAnsi="Palatino Linotype"/>
                <w:sz w:val="14"/>
                <w:szCs w:val="14"/>
              </w:rPr>
              <w:t>SERVnoA</w:t>
            </w:r>
            <w:proofErr w:type="spellEnd"/>
            <w:r>
              <w:rPr>
                <w:rFonts w:ascii="Palatino Linotype" w:hAnsi="Palatino Linotype"/>
                <w:sz w:val="14"/>
                <w:szCs w:val="14"/>
              </w:rPr>
              <w:t xml:space="preserve"> (30,34%)</w:t>
            </w:r>
          </w:p>
        </w:tc>
        <w:tc>
          <w:tcPr>
            <w:tcW w:w="1265" w:type="dxa"/>
            <w:tcBorders>
              <w:top w:val="single" w:sz="4" w:space="0" w:color="auto"/>
              <w:left w:val="single" w:sz="4" w:space="0" w:color="auto"/>
              <w:bottom w:val="single" w:sz="4" w:space="0" w:color="auto"/>
              <w:right w:val="single" w:sz="4" w:space="0" w:color="auto"/>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(3) </w:t>
            </w:r>
          </w:p>
          <w:p w:rsidR="000309DB" w:rsidRDefault="000309DB" w:rsidP="000309DB">
            <w:pPr>
              <w:ind w:left="24" w:right="8"/>
              <w:jc w:val="center"/>
              <w:rPr>
                <w:rFonts w:ascii="Palatino Linotype" w:hAnsi="Palatino Linotype"/>
                <w:sz w:val="14"/>
                <w:szCs w:val="14"/>
              </w:rPr>
            </w:pPr>
            <w:proofErr w:type="spellStart"/>
            <w:r>
              <w:rPr>
                <w:rFonts w:ascii="Palatino Linotype" w:hAnsi="Palatino Linotype"/>
                <w:sz w:val="14"/>
                <w:szCs w:val="14"/>
              </w:rPr>
              <w:t>SERVAd</w:t>
            </w:r>
            <w:proofErr w:type="spellEnd"/>
            <w:r>
              <w:rPr>
                <w:rFonts w:ascii="Palatino Linotype" w:hAnsi="Palatino Linotype"/>
                <w:sz w:val="14"/>
                <w:szCs w:val="14"/>
              </w:rPr>
              <w:t xml:space="preserve"> (8,55%)</w:t>
            </w:r>
          </w:p>
        </w:tc>
        <w:tc>
          <w:tcPr>
            <w:tcW w:w="2035" w:type="dxa"/>
            <w:tcBorders>
              <w:top w:val="single" w:sz="4" w:space="0" w:color="auto"/>
              <w:left w:val="single" w:sz="4" w:space="0" w:color="auto"/>
              <w:bottom w:val="single" w:sz="4" w:space="0" w:color="auto"/>
              <w:right w:val="single" w:sz="4" w:space="0" w:color="auto"/>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INFLACIÓN TENDENCIAL </w:t>
            </w:r>
          </w:p>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(1+2+3)</w:t>
            </w:r>
          </w:p>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 (75,27%)</w:t>
            </w:r>
          </w:p>
        </w:tc>
        <w:tc>
          <w:tcPr>
            <w:tcW w:w="1231" w:type="dxa"/>
            <w:tcBorders>
              <w:top w:val="single" w:sz="4" w:space="0" w:color="auto"/>
              <w:left w:val="single" w:sz="4" w:space="0" w:color="auto"/>
              <w:bottom w:val="single" w:sz="4" w:space="0" w:color="auto"/>
              <w:right w:val="single" w:sz="4" w:space="0" w:color="auto"/>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(4) </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ANE (12,12%)</w:t>
            </w:r>
          </w:p>
        </w:tc>
        <w:tc>
          <w:tcPr>
            <w:tcW w:w="1248" w:type="dxa"/>
            <w:tcBorders>
              <w:top w:val="single" w:sz="4" w:space="0" w:color="auto"/>
              <w:left w:val="single" w:sz="4" w:space="0" w:color="auto"/>
              <w:bottom w:val="single" w:sz="4" w:space="0" w:color="auto"/>
              <w:right w:val="single" w:sz="4" w:space="0" w:color="auto"/>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(5) </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ENE</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(8,33%)</w:t>
            </w:r>
          </w:p>
        </w:tc>
        <w:tc>
          <w:tcPr>
            <w:tcW w:w="1247" w:type="dxa"/>
            <w:tcBorders>
              <w:top w:val="single" w:sz="4" w:space="0" w:color="auto"/>
              <w:left w:val="single" w:sz="4" w:space="0" w:color="auto"/>
              <w:bottom w:val="single" w:sz="4" w:space="0" w:color="auto"/>
              <w:right w:val="single" w:sz="4" w:space="0" w:color="auto"/>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(6) </w:t>
            </w:r>
          </w:p>
          <w:p w:rsidR="000309DB" w:rsidRDefault="000309DB" w:rsidP="000309DB">
            <w:pPr>
              <w:ind w:left="24" w:right="8"/>
              <w:jc w:val="center"/>
              <w:rPr>
                <w:rFonts w:ascii="Palatino Linotype" w:hAnsi="Palatino Linotype"/>
                <w:sz w:val="14"/>
                <w:szCs w:val="14"/>
              </w:rPr>
            </w:pPr>
            <w:proofErr w:type="spellStart"/>
            <w:r>
              <w:rPr>
                <w:rFonts w:ascii="Palatino Linotype" w:hAnsi="Palatino Linotype"/>
                <w:sz w:val="14"/>
                <w:szCs w:val="14"/>
              </w:rPr>
              <w:t>SERVPub</w:t>
            </w:r>
            <w:proofErr w:type="spellEnd"/>
            <w:r>
              <w:rPr>
                <w:rFonts w:ascii="Palatino Linotype" w:hAnsi="Palatino Linotype"/>
                <w:sz w:val="14"/>
                <w:szCs w:val="14"/>
              </w:rPr>
              <w:t xml:space="preserve"> </w:t>
            </w:r>
          </w:p>
          <w:p w:rsidR="000309DB" w:rsidRDefault="000309DB" w:rsidP="000309DB">
            <w:pPr>
              <w:ind w:left="24" w:right="8"/>
              <w:jc w:val="center"/>
              <w:rPr>
                <w:rFonts w:ascii="Palatino Linotype" w:hAnsi="Palatino Linotype"/>
                <w:sz w:val="14"/>
                <w:szCs w:val="14"/>
              </w:rPr>
            </w:pPr>
            <w:r>
              <w:rPr>
                <w:rFonts w:ascii="Palatino Linotype" w:hAnsi="Palatino Linotype"/>
                <w:sz w:val="14"/>
                <w:szCs w:val="14"/>
              </w:rPr>
              <w:t>(4,28%)</w:t>
            </w:r>
          </w:p>
        </w:tc>
        <w:tc>
          <w:tcPr>
            <w:tcW w:w="1784" w:type="dxa"/>
            <w:tcBorders>
              <w:top w:val="single" w:sz="4" w:space="0" w:color="auto"/>
              <w:left w:val="single" w:sz="4" w:space="0" w:color="auto"/>
              <w:bottom w:val="single" w:sz="4" w:space="0" w:color="auto"/>
              <w:right w:val="single" w:sz="4" w:space="0" w:color="auto"/>
            </w:tcBorders>
            <w:vAlign w:val="center"/>
          </w:tcPr>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INFLACIÓN RESIDUAL (4+5+6) </w:t>
            </w:r>
          </w:p>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(24,73%)</w:t>
            </w:r>
          </w:p>
        </w:tc>
        <w:tc>
          <w:tcPr>
            <w:tcW w:w="1901" w:type="dxa"/>
            <w:tcBorders>
              <w:left w:val="single" w:sz="4" w:space="0" w:color="auto"/>
              <w:bottom w:val="single" w:sz="4" w:space="0" w:color="auto"/>
              <w:right w:val="single" w:sz="4" w:space="0" w:color="auto"/>
            </w:tcBorders>
            <w:vAlign w:val="center"/>
          </w:tcPr>
          <w:p w:rsidR="000309DB" w:rsidRDefault="000309DB" w:rsidP="000309DB">
            <w:pPr>
              <w:snapToGrid w:val="0"/>
              <w:ind w:left="24" w:right="8"/>
              <w:jc w:val="center"/>
              <w:rPr>
                <w:rFonts w:ascii="Palatino Linotype" w:hAnsi="Palatino Linotype"/>
                <w:sz w:val="14"/>
                <w:szCs w:val="14"/>
              </w:rPr>
            </w:pPr>
          </w:p>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 xml:space="preserve">INFLACIÓN IPC </w:t>
            </w:r>
          </w:p>
          <w:p w:rsidR="000309DB" w:rsidRDefault="000309DB" w:rsidP="000309DB">
            <w:pPr>
              <w:snapToGrid w:val="0"/>
              <w:ind w:left="24" w:right="8"/>
              <w:jc w:val="center"/>
              <w:rPr>
                <w:rFonts w:ascii="Palatino Linotype" w:hAnsi="Palatino Linotype"/>
                <w:sz w:val="14"/>
                <w:szCs w:val="14"/>
              </w:rPr>
            </w:pPr>
            <w:r>
              <w:rPr>
                <w:rFonts w:ascii="Palatino Linotype" w:hAnsi="Palatino Linotype"/>
                <w:sz w:val="14"/>
                <w:szCs w:val="14"/>
              </w:rPr>
              <w:t>(100%)</w:t>
            </w:r>
          </w:p>
        </w:tc>
      </w:tr>
      <w:tr w:rsidR="00B35F2B" w:rsidRPr="00B35F2B" w:rsidTr="004A4F2B">
        <w:trPr>
          <w:gridAfter w:val="9"/>
          <w:wAfter w:w="14004" w:type="dxa"/>
          <w:trHeight w:val="227"/>
        </w:trPr>
        <w:tc>
          <w:tcPr>
            <w:tcW w:w="1121" w:type="dxa"/>
            <w:tcBorders>
              <w:top w:val="single" w:sz="4" w:space="0" w:color="auto"/>
              <w:left w:val="single" w:sz="4" w:space="0" w:color="auto"/>
            </w:tcBorders>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01/15</w:t>
            </w:r>
          </w:p>
        </w:tc>
        <w:tc>
          <w:tcPr>
            <w:tcW w:w="1247" w:type="dxa"/>
            <w:tcBorders>
              <w:top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8.64</w:t>
            </w:r>
          </w:p>
        </w:tc>
        <w:tc>
          <w:tcPr>
            <w:tcW w:w="1264" w:type="dxa"/>
            <w:tcBorders>
              <w:top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10.38</w:t>
            </w:r>
          </w:p>
        </w:tc>
        <w:tc>
          <w:tcPr>
            <w:tcW w:w="1265" w:type="dxa"/>
            <w:tcBorders>
              <w:top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3.51</w:t>
            </w:r>
          </w:p>
        </w:tc>
        <w:tc>
          <w:tcPr>
            <w:tcW w:w="2035" w:type="dxa"/>
            <w:tcBorders>
              <w:top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8.77</w:t>
            </w:r>
          </w:p>
        </w:tc>
        <w:tc>
          <w:tcPr>
            <w:tcW w:w="1231" w:type="dxa"/>
            <w:tcBorders>
              <w:top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12.88</w:t>
            </w:r>
          </w:p>
        </w:tc>
        <w:tc>
          <w:tcPr>
            <w:tcW w:w="1248" w:type="dxa"/>
            <w:tcBorders>
              <w:top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-1.77</w:t>
            </w:r>
          </w:p>
        </w:tc>
        <w:tc>
          <w:tcPr>
            <w:tcW w:w="1247" w:type="dxa"/>
            <w:tcBorders>
              <w:top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-0.09</w:t>
            </w:r>
          </w:p>
        </w:tc>
        <w:tc>
          <w:tcPr>
            <w:tcW w:w="1784" w:type="dxa"/>
            <w:tcBorders>
              <w:top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5.74</w:t>
            </w:r>
          </w:p>
        </w:tc>
        <w:tc>
          <w:tcPr>
            <w:tcW w:w="1901" w:type="dxa"/>
            <w:tcBorders>
              <w:top w:val="single" w:sz="4" w:space="0" w:color="auto"/>
              <w:right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8.02</w:t>
            </w:r>
          </w:p>
        </w:tc>
      </w:tr>
      <w:tr w:rsidR="00B35F2B" w:rsidRPr="00B35F2B" w:rsidTr="004A4F2B">
        <w:trPr>
          <w:gridAfter w:val="9"/>
          <w:wAfter w:w="14004" w:type="dxa"/>
          <w:trHeight w:val="227"/>
        </w:trPr>
        <w:tc>
          <w:tcPr>
            <w:tcW w:w="1121" w:type="dxa"/>
            <w:tcBorders>
              <w:left w:val="single" w:sz="4" w:space="0" w:color="auto"/>
            </w:tcBorders>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02/15</w:t>
            </w:r>
          </w:p>
        </w:tc>
        <w:tc>
          <w:tcPr>
            <w:tcW w:w="1247"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8.09</w:t>
            </w:r>
          </w:p>
        </w:tc>
        <w:tc>
          <w:tcPr>
            <w:tcW w:w="126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9.86</w:t>
            </w:r>
          </w:p>
        </w:tc>
        <w:tc>
          <w:tcPr>
            <w:tcW w:w="1265"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4.21</w:t>
            </w:r>
          </w:p>
        </w:tc>
        <w:tc>
          <w:tcPr>
            <w:tcW w:w="2035"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8.40</w:t>
            </w:r>
          </w:p>
        </w:tc>
        <w:tc>
          <w:tcPr>
            <w:tcW w:w="1231"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9.31</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-0.60</w:t>
            </w:r>
          </w:p>
        </w:tc>
        <w:tc>
          <w:tcPr>
            <w:tcW w:w="1247"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-0.11</w:t>
            </w:r>
          </w:p>
        </w:tc>
        <w:tc>
          <w:tcPr>
            <w:tcW w:w="178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4.48</w:t>
            </w:r>
          </w:p>
        </w:tc>
        <w:tc>
          <w:tcPr>
            <w:tcW w:w="1901" w:type="dxa"/>
            <w:tcBorders>
              <w:right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7.43</w:t>
            </w:r>
          </w:p>
        </w:tc>
      </w:tr>
      <w:tr w:rsidR="00B35F2B" w:rsidRPr="00B35F2B" w:rsidTr="004A4F2B">
        <w:trPr>
          <w:gridAfter w:val="9"/>
          <w:wAfter w:w="14004" w:type="dxa"/>
          <w:trHeight w:val="227"/>
        </w:trPr>
        <w:tc>
          <w:tcPr>
            <w:tcW w:w="1121" w:type="dxa"/>
            <w:tcBorders>
              <w:left w:val="single" w:sz="4" w:space="0" w:color="auto"/>
            </w:tcBorders>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03/15</w:t>
            </w:r>
          </w:p>
        </w:tc>
        <w:tc>
          <w:tcPr>
            <w:tcW w:w="1247"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8.40</w:t>
            </w:r>
          </w:p>
        </w:tc>
        <w:tc>
          <w:tcPr>
            <w:tcW w:w="126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10.07</w:t>
            </w:r>
          </w:p>
        </w:tc>
        <w:tc>
          <w:tcPr>
            <w:tcW w:w="1265"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3.44</w:t>
            </w:r>
          </w:p>
        </w:tc>
        <w:tc>
          <w:tcPr>
            <w:tcW w:w="2035"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8.54</w:t>
            </w:r>
          </w:p>
        </w:tc>
        <w:tc>
          <w:tcPr>
            <w:tcW w:w="1231"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7.50</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0.60</w:t>
            </w:r>
          </w:p>
        </w:tc>
        <w:tc>
          <w:tcPr>
            <w:tcW w:w="1247"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3.29</w:t>
            </w:r>
          </w:p>
        </w:tc>
        <w:tc>
          <w:tcPr>
            <w:tcW w:w="178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4.52</w:t>
            </w:r>
          </w:p>
        </w:tc>
        <w:tc>
          <w:tcPr>
            <w:tcW w:w="1901" w:type="dxa"/>
            <w:tcBorders>
              <w:right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7.55</w:t>
            </w:r>
          </w:p>
        </w:tc>
      </w:tr>
      <w:tr w:rsidR="00B35F2B" w:rsidRPr="00B35F2B" w:rsidTr="004A4F2B">
        <w:trPr>
          <w:gridAfter w:val="9"/>
          <w:wAfter w:w="14004" w:type="dxa"/>
          <w:trHeight w:val="227"/>
        </w:trPr>
        <w:tc>
          <w:tcPr>
            <w:tcW w:w="1121" w:type="dxa"/>
            <w:tcBorders>
              <w:left w:val="single" w:sz="4" w:space="0" w:color="auto"/>
            </w:tcBorders>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04/15</w:t>
            </w:r>
          </w:p>
        </w:tc>
        <w:tc>
          <w:tcPr>
            <w:tcW w:w="1247"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8.90</w:t>
            </w:r>
          </w:p>
        </w:tc>
        <w:tc>
          <w:tcPr>
            <w:tcW w:w="126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10.62</w:t>
            </w:r>
          </w:p>
        </w:tc>
        <w:tc>
          <w:tcPr>
            <w:tcW w:w="1265"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6.43</w:t>
            </w:r>
          </w:p>
        </w:tc>
        <w:tc>
          <w:tcPr>
            <w:tcW w:w="2035"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9.36</w:t>
            </w:r>
          </w:p>
        </w:tc>
        <w:tc>
          <w:tcPr>
            <w:tcW w:w="1231"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8.01</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0.59</w:t>
            </w:r>
          </w:p>
        </w:tc>
        <w:tc>
          <w:tcPr>
            <w:tcW w:w="1247"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3.29</w:t>
            </w:r>
          </w:p>
        </w:tc>
        <w:tc>
          <w:tcPr>
            <w:tcW w:w="178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4.77</w:t>
            </w:r>
          </w:p>
        </w:tc>
        <w:tc>
          <w:tcPr>
            <w:tcW w:w="1901" w:type="dxa"/>
            <w:tcBorders>
              <w:right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8.23</w:t>
            </w:r>
          </w:p>
        </w:tc>
      </w:tr>
      <w:tr w:rsidR="00B35F2B" w:rsidRPr="00B35F2B" w:rsidTr="004A4F2B">
        <w:trPr>
          <w:gridAfter w:val="9"/>
          <w:wAfter w:w="14004" w:type="dxa"/>
          <w:trHeight w:val="227"/>
        </w:trPr>
        <w:tc>
          <w:tcPr>
            <w:tcW w:w="1121" w:type="dxa"/>
            <w:tcBorders>
              <w:left w:val="single" w:sz="4" w:space="0" w:color="auto"/>
            </w:tcBorders>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05/15</w:t>
            </w:r>
          </w:p>
        </w:tc>
        <w:tc>
          <w:tcPr>
            <w:tcW w:w="1247"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8.82</w:t>
            </w:r>
          </w:p>
        </w:tc>
        <w:tc>
          <w:tcPr>
            <w:tcW w:w="126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10.39</w:t>
            </w:r>
          </w:p>
        </w:tc>
        <w:tc>
          <w:tcPr>
            <w:tcW w:w="1265"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6.41</w:t>
            </w:r>
          </w:p>
        </w:tc>
        <w:tc>
          <w:tcPr>
            <w:tcW w:w="2035"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9.22</w:t>
            </w:r>
          </w:p>
        </w:tc>
        <w:tc>
          <w:tcPr>
            <w:tcW w:w="1231"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10.13</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0.87</w:t>
            </w:r>
          </w:p>
        </w:tc>
        <w:tc>
          <w:tcPr>
            <w:tcW w:w="1247"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3.29</w:t>
            </w:r>
          </w:p>
        </w:tc>
        <w:tc>
          <w:tcPr>
            <w:tcW w:w="178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5.93</w:t>
            </w:r>
          </w:p>
        </w:tc>
        <w:tc>
          <w:tcPr>
            <w:tcW w:w="1901" w:type="dxa"/>
            <w:tcBorders>
              <w:right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8.41</w:t>
            </w:r>
          </w:p>
        </w:tc>
      </w:tr>
      <w:tr w:rsidR="00B35F2B" w:rsidRPr="00B35F2B" w:rsidTr="004A4F2B">
        <w:trPr>
          <w:gridAfter w:val="9"/>
          <w:wAfter w:w="14004" w:type="dxa"/>
          <w:trHeight w:val="227"/>
        </w:trPr>
        <w:tc>
          <w:tcPr>
            <w:tcW w:w="1121" w:type="dxa"/>
            <w:tcBorders>
              <w:left w:val="single" w:sz="4" w:space="0" w:color="auto"/>
            </w:tcBorders>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06/15</w:t>
            </w:r>
          </w:p>
        </w:tc>
        <w:tc>
          <w:tcPr>
            <w:tcW w:w="1247"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8.88</w:t>
            </w:r>
          </w:p>
        </w:tc>
        <w:tc>
          <w:tcPr>
            <w:tcW w:w="126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10.55</w:t>
            </w:r>
          </w:p>
        </w:tc>
        <w:tc>
          <w:tcPr>
            <w:tcW w:w="1265"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6.50</w:t>
            </w:r>
          </w:p>
        </w:tc>
        <w:tc>
          <w:tcPr>
            <w:tcW w:w="2035"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9.33</w:t>
            </w:r>
          </w:p>
        </w:tc>
        <w:tc>
          <w:tcPr>
            <w:tcW w:w="1231"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10.36</w:t>
            </w:r>
          </w:p>
        </w:tc>
        <w:tc>
          <w:tcPr>
            <w:tcW w:w="1248"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0.92</w:t>
            </w:r>
          </w:p>
        </w:tc>
        <w:tc>
          <w:tcPr>
            <w:tcW w:w="1247"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3.29</w:t>
            </w:r>
          </w:p>
        </w:tc>
        <w:tc>
          <w:tcPr>
            <w:tcW w:w="1784" w:type="dxa"/>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6.04</w:t>
            </w:r>
          </w:p>
        </w:tc>
        <w:tc>
          <w:tcPr>
            <w:tcW w:w="1901" w:type="dxa"/>
            <w:tcBorders>
              <w:right w:val="single" w:sz="4" w:space="0" w:color="auto"/>
            </w:tcBorders>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8.53</w:t>
            </w:r>
          </w:p>
        </w:tc>
      </w:tr>
      <w:tr w:rsidR="00B35F2B" w:rsidRPr="00B35F2B" w:rsidTr="004A4F2B">
        <w:trPr>
          <w:gridAfter w:val="9"/>
          <w:wAfter w:w="14004" w:type="dxa"/>
          <w:trHeight w:val="227"/>
        </w:trPr>
        <w:tc>
          <w:tcPr>
            <w:tcW w:w="1121" w:type="dxa"/>
            <w:tcBorders>
              <w:left w:val="single" w:sz="4" w:space="0" w:color="auto"/>
            </w:tcBorders>
            <w:shd w:val="clear" w:color="auto" w:fill="auto"/>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07/15</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9.57</w:t>
            </w:r>
          </w:p>
        </w:tc>
        <w:tc>
          <w:tcPr>
            <w:tcW w:w="126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10.73</w:t>
            </w:r>
          </w:p>
        </w:tc>
        <w:tc>
          <w:tcPr>
            <w:tcW w:w="126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4.17</w:t>
            </w:r>
          </w:p>
        </w:tc>
        <w:tc>
          <w:tcPr>
            <w:tcW w:w="203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9.45</w:t>
            </w:r>
          </w:p>
        </w:tc>
        <w:tc>
          <w:tcPr>
            <w:tcW w:w="1231"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11.15</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4.21</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3.30</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7.67</w:t>
            </w:r>
          </w:p>
        </w:tc>
        <w:tc>
          <w:tcPr>
            <w:tcW w:w="1901" w:type="dxa"/>
            <w:tcBorders>
              <w:right w:val="single" w:sz="4" w:space="0" w:color="auto"/>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9.02</w:t>
            </w:r>
          </w:p>
        </w:tc>
      </w:tr>
      <w:tr w:rsidR="00B35F2B" w:rsidRPr="00B35F2B" w:rsidTr="004A4F2B">
        <w:trPr>
          <w:gridAfter w:val="9"/>
          <w:wAfter w:w="14004" w:type="dxa"/>
          <w:trHeight w:val="227"/>
        </w:trPr>
        <w:tc>
          <w:tcPr>
            <w:tcW w:w="1121" w:type="dxa"/>
            <w:tcBorders>
              <w:left w:val="single" w:sz="4" w:space="0" w:color="auto"/>
            </w:tcBorders>
            <w:shd w:val="clear" w:color="auto" w:fill="auto"/>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08/15</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9.95</w:t>
            </w:r>
          </w:p>
        </w:tc>
        <w:tc>
          <w:tcPr>
            <w:tcW w:w="126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11.01</w:t>
            </w:r>
          </w:p>
        </w:tc>
        <w:tc>
          <w:tcPr>
            <w:tcW w:w="126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3.72</w:t>
            </w:r>
          </w:p>
        </w:tc>
        <w:tc>
          <w:tcPr>
            <w:tcW w:w="203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9.69</w:t>
            </w:r>
          </w:p>
        </w:tc>
        <w:tc>
          <w:tcPr>
            <w:tcW w:w="1231"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11.93</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6.27</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3.41</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8.83</w:t>
            </w:r>
          </w:p>
        </w:tc>
        <w:tc>
          <w:tcPr>
            <w:tcW w:w="1901" w:type="dxa"/>
            <w:tcBorders>
              <w:right w:val="single" w:sz="4" w:space="0" w:color="auto"/>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9.48</w:t>
            </w:r>
          </w:p>
        </w:tc>
      </w:tr>
      <w:tr w:rsidR="00B35F2B" w:rsidRPr="00B35F2B" w:rsidTr="004A4F2B">
        <w:trPr>
          <w:gridAfter w:val="9"/>
          <w:wAfter w:w="14004" w:type="dxa"/>
          <w:trHeight w:val="227"/>
        </w:trPr>
        <w:tc>
          <w:tcPr>
            <w:tcW w:w="1121" w:type="dxa"/>
            <w:tcBorders>
              <w:left w:val="single" w:sz="4" w:space="0" w:color="auto"/>
            </w:tcBorders>
            <w:shd w:val="clear" w:color="auto" w:fill="auto"/>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09/15</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9.23</w:t>
            </w:r>
          </w:p>
        </w:tc>
        <w:tc>
          <w:tcPr>
            <w:tcW w:w="126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10.92</w:t>
            </w:r>
          </w:p>
        </w:tc>
        <w:tc>
          <w:tcPr>
            <w:tcW w:w="126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4.29</w:t>
            </w:r>
          </w:p>
        </w:tc>
        <w:tc>
          <w:tcPr>
            <w:tcW w:w="203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9.38</w:t>
            </w:r>
          </w:p>
        </w:tc>
        <w:tc>
          <w:tcPr>
            <w:tcW w:w="1231"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11.13</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6.22</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3.39</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8.42</w:t>
            </w:r>
          </w:p>
        </w:tc>
        <w:tc>
          <w:tcPr>
            <w:tcW w:w="1901" w:type="dxa"/>
            <w:tcBorders>
              <w:right w:val="single" w:sz="4" w:space="0" w:color="auto"/>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9.14</w:t>
            </w:r>
          </w:p>
        </w:tc>
      </w:tr>
      <w:tr w:rsidR="00B35F2B" w:rsidRPr="00B35F2B" w:rsidTr="004A4F2B">
        <w:trPr>
          <w:gridAfter w:val="9"/>
          <w:wAfter w:w="14004" w:type="dxa"/>
          <w:trHeight w:val="227"/>
        </w:trPr>
        <w:tc>
          <w:tcPr>
            <w:tcW w:w="1121" w:type="dxa"/>
            <w:tcBorders>
              <w:left w:val="single" w:sz="4" w:space="0" w:color="auto"/>
            </w:tcBorders>
            <w:shd w:val="clear" w:color="auto" w:fill="auto"/>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10/15</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9.47</w:t>
            </w:r>
          </w:p>
        </w:tc>
        <w:tc>
          <w:tcPr>
            <w:tcW w:w="126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10.91</w:t>
            </w:r>
          </w:p>
        </w:tc>
        <w:tc>
          <w:tcPr>
            <w:tcW w:w="126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5.30</w:t>
            </w:r>
          </w:p>
        </w:tc>
        <w:tc>
          <w:tcPr>
            <w:tcW w:w="203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9.60</w:t>
            </w:r>
          </w:p>
        </w:tc>
        <w:tc>
          <w:tcPr>
            <w:tcW w:w="1231"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10.04</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5.90</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3.40</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7.74</w:t>
            </w:r>
          </w:p>
        </w:tc>
        <w:tc>
          <w:tcPr>
            <w:tcW w:w="1901" w:type="dxa"/>
            <w:tcBorders>
              <w:right w:val="single" w:sz="4" w:space="0" w:color="auto"/>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9.15</w:t>
            </w:r>
          </w:p>
        </w:tc>
      </w:tr>
      <w:tr w:rsidR="00B35F2B" w:rsidRPr="00B35F2B" w:rsidTr="004A4F2B">
        <w:trPr>
          <w:gridAfter w:val="9"/>
          <w:wAfter w:w="14004" w:type="dxa"/>
          <w:trHeight w:val="227"/>
        </w:trPr>
        <w:tc>
          <w:tcPr>
            <w:tcW w:w="1121" w:type="dxa"/>
            <w:tcBorders>
              <w:left w:val="single" w:sz="4" w:space="0" w:color="auto"/>
            </w:tcBorders>
            <w:shd w:val="clear" w:color="auto" w:fill="auto"/>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11/15</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9.89</w:t>
            </w:r>
          </w:p>
        </w:tc>
        <w:tc>
          <w:tcPr>
            <w:tcW w:w="126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11.00</w:t>
            </w:r>
          </w:p>
        </w:tc>
        <w:tc>
          <w:tcPr>
            <w:tcW w:w="126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5.18</w:t>
            </w:r>
          </w:p>
        </w:tc>
        <w:tc>
          <w:tcPr>
            <w:tcW w:w="203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9.82</w:t>
            </w:r>
          </w:p>
        </w:tc>
        <w:tc>
          <w:tcPr>
            <w:tcW w:w="1231"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11.40</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5.47</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3.40</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8.30</w:t>
            </w:r>
          </w:p>
        </w:tc>
        <w:tc>
          <w:tcPr>
            <w:tcW w:w="1901" w:type="dxa"/>
            <w:tcBorders>
              <w:right w:val="single" w:sz="4" w:space="0" w:color="auto"/>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9.46</w:t>
            </w:r>
          </w:p>
        </w:tc>
      </w:tr>
      <w:tr w:rsidR="00B35F2B" w:rsidRPr="00B35F2B" w:rsidTr="004A4F2B">
        <w:trPr>
          <w:gridAfter w:val="9"/>
          <w:wAfter w:w="14004" w:type="dxa"/>
          <w:trHeight w:val="227"/>
        </w:trPr>
        <w:tc>
          <w:tcPr>
            <w:tcW w:w="1121" w:type="dxa"/>
            <w:tcBorders>
              <w:left w:val="single" w:sz="4" w:space="0" w:color="auto"/>
            </w:tcBorders>
            <w:shd w:val="clear" w:color="auto" w:fill="auto"/>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12/15</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9.76</w:t>
            </w:r>
          </w:p>
        </w:tc>
        <w:tc>
          <w:tcPr>
            <w:tcW w:w="126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10.68</w:t>
            </w:r>
          </w:p>
        </w:tc>
        <w:tc>
          <w:tcPr>
            <w:tcW w:w="126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9.06</w:t>
            </w:r>
          </w:p>
        </w:tc>
        <w:tc>
          <w:tcPr>
            <w:tcW w:w="203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10.07</w:t>
            </w:r>
          </w:p>
        </w:tc>
        <w:tc>
          <w:tcPr>
            <w:tcW w:w="1231"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9.51</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5.31</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3.40</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7.35</w:t>
            </w:r>
          </w:p>
        </w:tc>
        <w:tc>
          <w:tcPr>
            <w:tcW w:w="1901" w:type="dxa"/>
            <w:tcBorders>
              <w:right w:val="single" w:sz="4" w:space="0" w:color="auto"/>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9.44</w:t>
            </w:r>
          </w:p>
        </w:tc>
      </w:tr>
      <w:tr w:rsidR="00B35F2B" w:rsidRPr="00B35F2B" w:rsidTr="004A4F2B">
        <w:trPr>
          <w:gridAfter w:val="9"/>
          <w:wAfter w:w="14004" w:type="dxa"/>
          <w:trHeight w:val="227"/>
        </w:trPr>
        <w:tc>
          <w:tcPr>
            <w:tcW w:w="1121" w:type="dxa"/>
            <w:tcBorders>
              <w:left w:val="single" w:sz="4" w:space="0" w:color="auto"/>
            </w:tcBorders>
            <w:shd w:val="clear" w:color="auto" w:fill="auto"/>
            <w:vAlign w:val="bottom"/>
          </w:tcPr>
          <w:p w:rsidR="00B35F2B" w:rsidRPr="009276E0" w:rsidRDefault="00B35F2B" w:rsidP="00C41DFD">
            <w:pPr>
              <w:snapToGrid w:val="0"/>
              <w:jc w:val="center"/>
              <w:rPr>
                <w:rFonts w:ascii="Palatino Linotype" w:hAnsi="Palatino Linotype"/>
                <w:sz w:val="14"/>
                <w:szCs w:val="14"/>
              </w:rPr>
            </w:pPr>
            <w:r w:rsidRPr="009276E0">
              <w:rPr>
                <w:rFonts w:ascii="Palatino Linotype" w:hAnsi="Palatino Linotype"/>
                <w:sz w:val="14"/>
                <w:szCs w:val="14"/>
              </w:rPr>
              <w:t>01/16</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9.79</w:t>
            </w:r>
          </w:p>
        </w:tc>
        <w:tc>
          <w:tcPr>
            <w:tcW w:w="126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10.97</w:t>
            </w:r>
          </w:p>
        </w:tc>
        <w:tc>
          <w:tcPr>
            <w:tcW w:w="126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9.07</w:t>
            </w:r>
          </w:p>
        </w:tc>
        <w:tc>
          <w:tcPr>
            <w:tcW w:w="203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10.21</w:t>
            </w:r>
          </w:p>
        </w:tc>
        <w:tc>
          <w:tcPr>
            <w:tcW w:w="1231"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8.41</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7.49</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7.65</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8.00</w:t>
            </w:r>
          </w:p>
        </w:tc>
        <w:tc>
          <w:tcPr>
            <w:tcW w:w="1901" w:type="dxa"/>
            <w:tcBorders>
              <w:right w:val="single" w:sz="4" w:space="0" w:color="auto"/>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9.68</w:t>
            </w:r>
          </w:p>
        </w:tc>
      </w:tr>
      <w:tr w:rsidR="00B35F2B" w:rsidRPr="00B35F2B" w:rsidTr="004A4F2B">
        <w:trPr>
          <w:gridAfter w:val="9"/>
          <w:wAfter w:w="14004" w:type="dxa"/>
          <w:trHeight w:val="227"/>
        </w:trPr>
        <w:tc>
          <w:tcPr>
            <w:tcW w:w="1121" w:type="dxa"/>
            <w:tcBorders>
              <w:left w:val="single" w:sz="4" w:space="0" w:color="auto"/>
            </w:tcBorders>
            <w:shd w:val="clear" w:color="auto" w:fill="FFFFFF" w:themeFill="background1"/>
            <w:vAlign w:val="bottom"/>
          </w:tcPr>
          <w:p w:rsidR="00B35F2B" w:rsidRPr="00622531" w:rsidRDefault="00B35F2B" w:rsidP="00622531">
            <w:pPr>
              <w:snapToGrid w:val="0"/>
              <w:ind w:left="24" w:right="8"/>
              <w:jc w:val="center"/>
              <w:rPr>
                <w:rFonts w:ascii="Palatino Linotype" w:hAnsi="Palatino Linotype"/>
                <w:i/>
                <w:sz w:val="14"/>
                <w:szCs w:val="14"/>
                <w:lang w:val="en-GB"/>
              </w:rPr>
            </w:pPr>
            <w:r w:rsidRPr="00622531">
              <w:rPr>
                <w:rFonts w:ascii="Palatino Linotype" w:hAnsi="Palatino Linotype"/>
                <w:i/>
                <w:sz w:val="14"/>
                <w:szCs w:val="14"/>
                <w:lang w:val="en-GB"/>
              </w:rPr>
              <w:t>02/16</w:t>
            </w:r>
          </w:p>
        </w:tc>
        <w:tc>
          <w:tcPr>
            <w:tcW w:w="1247"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11.66</w:t>
            </w:r>
          </w:p>
        </w:tc>
        <w:tc>
          <w:tcPr>
            <w:tcW w:w="1264"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10.42</w:t>
            </w:r>
          </w:p>
        </w:tc>
        <w:tc>
          <w:tcPr>
            <w:tcW w:w="1265"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8.93</w:t>
            </w:r>
          </w:p>
        </w:tc>
        <w:tc>
          <w:tcPr>
            <w:tcW w:w="2035"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10.82</w:t>
            </w:r>
          </w:p>
        </w:tc>
        <w:tc>
          <w:tcPr>
            <w:tcW w:w="1231"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8.76</w:t>
            </w:r>
          </w:p>
        </w:tc>
        <w:tc>
          <w:tcPr>
            <w:tcW w:w="1248"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8.00</w:t>
            </w:r>
          </w:p>
        </w:tc>
        <w:tc>
          <w:tcPr>
            <w:tcW w:w="1247"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7.67</w:t>
            </w:r>
          </w:p>
        </w:tc>
        <w:tc>
          <w:tcPr>
            <w:tcW w:w="1784"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8.36</w:t>
            </w:r>
          </w:p>
        </w:tc>
        <w:tc>
          <w:tcPr>
            <w:tcW w:w="1901" w:type="dxa"/>
            <w:tcBorders>
              <w:right w:val="single" w:sz="4" w:space="0" w:color="auto"/>
            </w:tcBorders>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10.23</w:t>
            </w:r>
          </w:p>
        </w:tc>
      </w:tr>
      <w:tr w:rsidR="00B35F2B" w:rsidRPr="00B35F2B" w:rsidTr="004A4F2B">
        <w:trPr>
          <w:gridAfter w:val="9"/>
          <w:wAfter w:w="14004" w:type="dxa"/>
          <w:trHeight w:val="227"/>
        </w:trPr>
        <w:tc>
          <w:tcPr>
            <w:tcW w:w="1121" w:type="dxa"/>
            <w:tcBorders>
              <w:left w:val="single" w:sz="4" w:space="0" w:color="auto"/>
            </w:tcBorders>
            <w:shd w:val="clear" w:color="auto" w:fill="FFFFFF" w:themeFill="background1"/>
            <w:vAlign w:val="center"/>
          </w:tcPr>
          <w:p w:rsidR="00B35F2B" w:rsidRPr="00B421C3" w:rsidRDefault="00B35F2B" w:rsidP="00B421C3">
            <w:pPr>
              <w:snapToGrid w:val="0"/>
              <w:jc w:val="center"/>
              <w:rPr>
                <w:rFonts w:ascii="Palatino Linotype" w:hAnsi="Palatino Linotype"/>
                <w:sz w:val="14"/>
                <w:szCs w:val="14"/>
              </w:rPr>
            </w:pPr>
            <w:r w:rsidRPr="00B421C3">
              <w:rPr>
                <w:rFonts w:ascii="Palatino Linotype" w:hAnsi="Palatino Linotype"/>
                <w:sz w:val="14"/>
                <w:szCs w:val="14"/>
              </w:rPr>
              <w:t>03/16</w:t>
            </w:r>
          </w:p>
        </w:tc>
        <w:tc>
          <w:tcPr>
            <w:tcW w:w="1247"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11.91</w:t>
            </w:r>
          </w:p>
        </w:tc>
        <w:tc>
          <w:tcPr>
            <w:tcW w:w="1264"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10.56</w:t>
            </w:r>
          </w:p>
        </w:tc>
        <w:tc>
          <w:tcPr>
            <w:tcW w:w="1265"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9.74</w:t>
            </w:r>
          </w:p>
        </w:tc>
        <w:tc>
          <w:tcPr>
            <w:tcW w:w="2035"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11.09</w:t>
            </w:r>
          </w:p>
        </w:tc>
        <w:tc>
          <w:tcPr>
            <w:tcW w:w="1231"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9.96</w:t>
            </w:r>
          </w:p>
        </w:tc>
        <w:tc>
          <w:tcPr>
            <w:tcW w:w="1248"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8.10</w:t>
            </w:r>
          </w:p>
        </w:tc>
        <w:tc>
          <w:tcPr>
            <w:tcW w:w="1247"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7.68</w:t>
            </w:r>
          </w:p>
        </w:tc>
        <w:tc>
          <w:tcPr>
            <w:tcW w:w="1784"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9.03</w:t>
            </w:r>
          </w:p>
        </w:tc>
        <w:tc>
          <w:tcPr>
            <w:tcW w:w="1901" w:type="dxa"/>
            <w:tcBorders>
              <w:right w:val="single" w:sz="4" w:space="0" w:color="auto"/>
            </w:tcBorders>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10.60</w:t>
            </w:r>
          </w:p>
        </w:tc>
      </w:tr>
      <w:tr w:rsidR="00B35F2B" w:rsidRPr="00B35F2B" w:rsidTr="004A4F2B">
        <w:trPr>
          <w:gridAfter w:val="9"/>
          <w:wAfter w:w="14004" w:type="dxa"/>
          <w:trHeight w:val="227"/>
        </w:trPr>
        <w:tc>
          <w:tcPr>
            <w:tcW w:w="1121" w:type="dxa"/>
            <w:tcBorders>
              <w:left w:val="single" w:sz="4" w:space="0" w:color="auto"/>
            </w:tcBorders>
            <w:shd w:val="clear" w:color="auto" w:fill="FFFFFF" w:themeFill="background1"/>
            <w:vAlign w:val="center"/>
          </w:tcPr>
          <w:p w:rsidR="00B35F2B" w:rsidRPr="00B421C3" w:rsidRDefault="00B35F2B" w:rsidP="00B421C3">
            <w:pPr>
              <w:snapToGrid w:val="0"/>
              <w:jc w:val="center"/>
              <w:rPr>
                <w:rFonts w:ascii="Palatino Linotype" w:hAnsi="Palatino Linotype"/>
                <w:sz w:val="14"/>
                <w:szCs w:val="14"/>
              </w:rPr>
            </w:pPr>
            <w:r w:rsidRPr="00B421C3">
              <w:rPr>
                <w:rFonts w:ascii="Palatino Linotype" w:hAnsi="Palatino Linotype"/>
                <w:sz w:val="14"/>
                <w:szCs w:val="14"/>
              </w:rPr>
              <w:t>04/16</w:t>
            </w:r>
          </w:p>
        </w:tc>
        <w:tc>
          <w:tcPr>
            <w:tcW w:w="1247"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11.29</w:t>
            </w:r>
          </w:p>
        </w:tc>
        <w:tc>
          <w:tcPr>
            <w:tcW w:w="1264"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10.29</w:t>
            </w:r>
          </w:p>
        </w:tc>
        <w:tc>
          <w:tcPr>
            <w:tcW w:w="1265"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10.17</w:t>
            </w:r>
          </w:p>
        </w:tc>
        <w:tc>
          <w:tcPr>
            <w:tcW w:w="2035"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10.73</w:t>
            </w:r>
          </w:p>
        </w:tc>
        <w:tc>
          <w:tcPr>
            <w:tcW w:w="1231"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11.17</w:t>
            </w:r>
          </w:p>
        </w:tc>
        <w:tc>
          <w:tcPr>
            <w:tcW w:w="1248"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7.93</w:t>
            </w:r>
          </w:p>
        </w:tc>
        <w:tc>
          <w:tcPr>
            <w:tcW w:w="1247"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7.70</w:t>
            </w:r>
          </w:p>
        </w:tc>
        <w:tc>
          <w:tcPr>
            <w:tcW w:w="1784"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9.61</w:t>
            </w:r>
          </w:p>
        </w:tc>
        <w:tc>
          <w:tcPr>
            <w:tcW w:w="1901" w:type="dxa"/>
            <w:tcBorders>
              <w:right w:val="single" w:sz="4" w:space="0" w:color="auto"/>
            </w:tcBorders>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10.47</w:t>
            </w:r>
          </w:p>
        </w:tc>
      </w:tr>
      <w:tr w:rsidR="00B35F2B" w:rsidRPr="00B35F2B" w:rsidTr="004A4F2B">
        <w:trPr>
          <w:gridAfter w:val="9"/>
          <w:wAfter w:w="14004" w:type="dxa"/>
          <w:trHeight w:val="227"/>
        </w:trPr>
        <w:tc>
          <w:tcPr>
            <w:tcW w:w="1121" w:type="dxa"/>
            <w:tcBorders>
              <w:left w:val="single" w:sz="4" w:space="0" w:color="auto"/>
            </w:tcBorders>
            <w:shd w:val="clear" w:color="auto" w:fill="FFFFFF" w:themeFill="background1"/>
            <w:vAlign w:val="center"/>
          </w:tcPr>
          <w:p w:rsidR="00B35F2B" w:rsidRPr="00B421C3" w:rsidRDefault="00B35F2B" w:rsidP="00B421C3">
            <w:pPr>
              <w:snapToGrid w:val="0"/>
              <w:jc w:val="center"/>
              <w:rPr>
                <w:rFonts w:ascii="Palatino Linotype" w:hAnsi="Palatino Linotype"/>
                <w:sz w:val="14"/>
                <w:szCs w:val="14"/>
              </w:rPr>
            </w:pPr>
            <w:r w:rsidRPr="00B421C3">
              <w:rPr>
                <w:rFonts w:ascii="Palatino Linotype" w:hAnsi="Palatino Linotype"/>
                <w:sz w:val="14"/>
                <w:szCs w:val="14"/>
              </w:rPr>
              <w:t>05/16</w:t>
            </w:r>
          </w:p>
        </w:tc>
        <w:tc>
          <w:tcPr>
            <w:tcW w:w="1247"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10.93</w:t>
            </w:r>
          </w:p>
        </w:tc>
        <w:tc>
          <w:tcPr>
            <w:tcW w:w="1264"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10.76</w:t>
            </w:r>
          </w:p>
        </w:tc>
        <w:tc>
          <w:tcPr>
            <w:tcW w:w="1265"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10.27</w:t>
            </w:r>
          </w:p>
        </w:tc>
        <w:tc>
          <w:tcPr>
            <w:tcW w:w="2035"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10.78</w:t>
            </w:r>
          </w:p>
        </w:tc>
        <w:tc>
          <w:tcPr>
            <w:tcW w:w="1231"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15.04</w:t>
            </w:r>
          </w:p>
        </w:tc>
        <w:tc>
          <w:tcPr>
            <w:tcW w:w="1248"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7.95</w:t>
            </w:r>
          </w:p>
        </w:tc>
        <w:tc>
          <w:tcPr>
            <w:tcW w:w="1247"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7.71</w:t>
            </w:r>
          </w:p>
        </w:tc>
        <w:tc>
          <w:tcPr>
            <w:tcW w:w="1784" w:type="dxa"/>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11.67</w:t>
            </w:r>
          </w:p>
        </w:tc>
        <w:tc>
          <w:tcPr>
            <w:tcW w:w="1901" w:type="dxa"/>
            <w:tcBorders>
              <w:right w:val="single" w:sz="4" w:space="0" w:color="auto"/>
            </w:tcBorders>
            <w:shd w:val="clear" w:color="auto" w:fill="FFFFFF" w:themeFill="background1"/>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11.00</w:t>
            </w:r>
          </w:p>
        </w:tc>
      </w:tr>
      <w:tr w:rsidR="00B35F2B" w:rsidRPr="00B35F2B" w:rsidTr="004A4F2B">
        <w:trPr>
          <w:gridAfter w:val="9"/>
          <w:wAfter w:w="14004" w:type="dxa"/>
          <w:trHeight w:val="227"/>
        </w:trPr>
        <w:tc>
          <w:tcPr>
            <w:tcW w:w="1121" w:type="dxa"/>
            <w:tcBorders>
              <w:left w:val="single" w:sz="4" w:space="0" w:color="auto"/>
            </w:tcBorders>
            <w:shd w:val="clear" w:color="auto" w:fill="auto"/>
            <w:vAlign w:val="center"/>
          </w:tcPr>
          <w:p w:rsidR="00B35F2B" w:rsidRPr="00B421C3" w:rsidRDefault="00B35F2B" w:rsidP="00B421C3">
            <w:pPr>
              <w:snapToGrid w:val="0"/>
              <w:jc w:val="center"/>
              <w:rPr>
                <w:rFonts w:ascii="Palatino Linotype" w:hAnsi="Palatino Linotype"/>
                <w:sz w:val="14"/>
                <w:szCs w:val="14"/>
              </w:rPr>
            </w:pPr>
            <w:r w:rsidRPr="00B421C3">
              <w:rPr>
                <w:rFonts w:ascii="Palatino Linotype" w:hAnsi="Palatino Linotype"/>
                <w:sz w:val="14"/>
                <w:szCs w:val="14"/>
              </w:rPr>
              <w:t>06/16</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10.15</w:t>
            </w:r>
          </w:p>
        </w:tc>
        <w:tc>
          <w:tcPr>
            <w:tcW w:w="126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10.46</w:t>
            </w:r>
          </w:p>
        </w:tc>
        <w:tc>
          <w:tcPr>
            <w:tcW w:w="126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10.16</w:t>
            </w:r>
          </w:p>
        </w:tc>
        <w:tc>
          <w:tcPr>
            <w:tcW w:w="203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10.29</w:t>
            </w:r>
          </w:p>
        </w:tc>
        <w:tc>
          <w:tcPr>
            <w:tcW w:w="1231"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17.75</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7.81</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7.72</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13.05</w:t>
            </w:r>
          </w:p>
        </w:tc>
        <w:tc>
          <w:tcPr>
            <w:tcW w:w="1901" w:type="dxa"/>
            <w:tcBorders>
              <w:right w:val="single" w:sz="4" w:space="0" w:color="auto"/>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10.94</w:t>
            </w:r>
          </w:p>
        </w:tc>
      </w:tr>
      <w:tr w:rsidR="00B35F2B" w:rsidRPr="00B35F2B" w:rsidTr="00BA0542">
        <w:trPr>
          <w:gridAfter w:val="9"/>
          <w:wAfter w:w="14004" w:type="dxa"/>
          <w:trHeight w:val="227"/>
        </w:trPr>
        <w:tc>
          <w:tcPr>
            <w:tcW w:w="1121" w:type="dxa"/>
            <w:tcBorders>
              <w:left w:val="single" w:sz="4" w:space="0" w:color="auto"/>
            </w:tcBorders>
            <w:shd w:val="clear" w:color="auto" w:fill="auto"/>
            <w:vAlign w:val="center"/>
          </w:tcPr>
          <w:p w:rsidR="00B35F2B" w:rsidRPr="00B421C3" w:rsidRDefault="00B35F2B" w:rsidP="00B421C3">
            <w:pPr>
              <w:snapToGrid w:val="0"/>
              <w:jc w:val="center"/>
              <w:rPr>
                <w:rFonts w:ascii="Palatino Linotype" w:hAnsi="Palatino Linotype"/>
                <w:sz w:val="14"/>
                <w:szCs w:val="14"/>
              </w:rPr>
            </w:pPr>
            <w:r w:rsidRPr="00B421C3">
              <w:rPr>
                <w:rFonts w:ascii="Palatino Linotype" w:hAnsi="Palatino Linotype"/>
                <w:sz w:val="14"/>
                <w:szCs w:val="14"/>
              </w:rPr>
              <w:t>07/16</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9.01</w:t>
            </w:r>
          </w:p>
        </w:tc>
        <w:tc>
          <w:tcPr>
            <w:tcW w:w="126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10.27</w:t>
            </w:r>
          </w:p>
        </w:tc>
        <w:tc>
          <w:tcPr>
            <w:tcW w:w="126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10.18</w:t>
            </w:r>
          </w:p>
        </w:tc>
        <w:tc>
          <w:tcPr>
            <w:tcW w:w="2035"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9.68</w:t>
            </w:r>
          </w:p>
        </w:tc>
        <w:tc>
          <w:tcPr>
            <w:tcW w:w="1231"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14.67</w:t>
            </w:r>
          </w:p>
        </w:tc>
        <w:tc>
          <w:tcPr>
            <w:tcW w:w="1248"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7.14</w:t>
            </w:r>
          </w:p>
        </w:tc>
        <w:tc>
          <w:tcPr>
            <w:tcW w:w="1247"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7.70</w:t>
            </w:r>
          </w:p>
        </w:tc>
        <w:tc>
          <w:tcPr>
            <w:tcW w:w="1784" w:type="dxa"/>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11.23</w:t>
            </w:r>
          </w:p>
        </w:tc>
        <w:tc>
          <w:tcPr>
            <w:tcW w:w="1901" w:type="dxa"/>
            <w:tcBorders>
              <w:right w:val="single" w:sz="4" w:space="0" w:color="auto"/>
            </w:tcBorders>
            <w:shd w:val="clear" w:color="auto" w:fill="auto"/>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10.05</w:t>
            </w:r>
          </w:p>
        </w:tc>
      </w:tr>
      <w:tr w:rsidR="00B35F2B" w:rsidRPr="00B35F2B" w:rsidTr="004A4F2B">
        <w:trPr>
          <w:gridAfter w:val="9"/>
          <w:wAfter w:w="14004" w:type="dxa"/>
          <w:trHeight w:val="227"/>
        </w:trPr>
        <w:tc>
          <w:tcPr>
            <w:tcW w:w="1121" w:type="dxa"/>
            <w:tcBorders>
              <w:left w:val="single" w:sz="4" w:space="0" w:color="auto"/>
            </w:tcBorders>
            <w:shd w:val="clear" w:color="auto" w:fill="D9D9D9" w:themeFill="background1" w:themeFillShade="D9"/>
            <w:vAlign w:val="center"/>
          </w:tcPr>
          <w:p w:rsidR="00B35F2B" w:rsidRPr="00B421C3" w:rsidRDefault="00B35F2B" w:rsidP="00B421C3">
            <w:pPr>
              <w:snapToGrid w:val="0"/>
              <w:jc w:val="center"/>
              <w:rPr>
                <w:rFonts w:ascii="Palatino Linotype" w:hAnsi="Palatino Linotype"/>
                <w:sz w:val="14"/>
                <w:szCs w:val="14"/>
              </w:rPr>
            </w:pPr>
            <w:r w:rsidRPr="00B421C3">
              <w:rPr>
                <w:rFonts w:ascii="Palatino Linotype" w:hAnsi="Palatino Linotype"/>
                <w:sz w:val="14"/>
                <w:szCs w:val="14"/>
              </w:rPr>
              <w:t>08/16</w:t>
            </w:r>
          </w:p>
        </w:tc>
        <w:tc>
          <w:tcPr>
            <w:tcW w:w="1247"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7.81</w:t>
            </w:r>
          </w:p>
        </w:tc>
        <w:tc>
          <w:tcPr>
            <w:tcW w:w="126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9.93</w:t>
            </w:r>
          </w:p>
        </w:tc>
        <w:tc>
          <w:tcPr>
            <w:tcW w:w="1265"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13.07</w:t>
            </w:r>
          </w:p>
        </w:tc>
        <w:tc>
          <w:tcPr>
            <w:tcW w:w="2035"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9.30</w:t>
            </w:r>
          </w:p>
        </w:tc>
        <w:tc>
          <w:tcPr>
            <w:tcW w:w="1231"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12.04</w:t>
            </w:r>
          </w:p>
        </w:tc>
        <w:tc>
          <w:tcPr>
            <w:tcW w:w="1248"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5.19</w:t>
            </w:r>
          </w:p>
        </w:tc>
        <w:tc>
          <w:tcPr>
            <w:tcW w:w="1247"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7.68</w:t>
            </w:r>
          </w:p>
        </w:tc>
        <w:tc>
          <w:tcPr>
            <w:tcW w:w="178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9.19</w:t>
            </w:r>
          </w:p>
        </w:tc>
        <w:tc>
          <w:tcPr>
            <w:tcW w:w="1901" w:type="dxa"/>
            <w:tcBorders>
              <w:right w:val="single" w:sz="4" w:space="0" w:color="auto"/>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9.27</w:t>
            </w:r>
          </w:p>
        </w:tc>
      </w:tr>
      <w:tr w:rsidR="00B35F2B" w:rsidRPr="00B35F2B" w:rsidTr="004A4F2B">
        <w:trPr>
          <w:gridAfter w:val="9"/>
          <w:wAfter w:w="14004" w:type="dxa"/>
          <w:trHeight w:val="227"/>
        </w:trPr>
        <w:tc>
          <w:tcPr>
            <w:tcW w:w="1121" w:type="dxa"/>
            <w:tcBorders>
              <w:left w:val="single" w:sz="4" w:space="0" w:color="auto"/>
            </w:tcBorders>
            <w:shd w:val="clear" w:color="auto" w:fill="D9D9D9" w:themeFill="background1" w:themeFillShade="D9"/>
            <w:vAlign w:val="center"/>
          </w:tcPr>
          <w:p w:rsidR="00B35F2B" w:rsidRPr="00B421C3" w:rsidRDefault="00B35F2B" w:rsidP="00B421C3">
            <w:pPr>
              <w:snapToGrid w:val="0"/>
              <w:jc w:val="center"/>
              <w:rPr>
                <w:rFonts w:ascii="Palatino Linotype" w:hAnsi="Palatino Linotype"/>
                <w:sz w:val="14"/>
                <w:szCs w:val="14"/>
              </w:rPr>
            </w:pPr>
            <w:r w:rsidRPr="00B421C3">
              <w:rPr>
                <w:rFonts w:ascii="Palatino Linotype" w:hAnsi="Palatino Linotype"/>
                <w:sz w:val="14"/>
                <w:szCs w:val="14"/>
              </w:rPr>
              <w:t>09/16</w:t>
            </w:r>
          </w:p>
        </w:tc>
        <w:tc>
          <w:tcPr>
            <w:tcW w:w="1247"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8.32</w:t>
            </w:r>
          </w:p>
        </w:tc>
        <w:tc>
          <w:tcPr>
            <w:tcW w:w="126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9.87</w:t>
            </w:r>
          </w:p>
        </w:tc>
        <w:tc>
          <w:tcPr>
            <w:tcW w:w="1265"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11.73</w:t>
            </w:r>
          </w:p>
        </w:tc>
        <w:tc>
          <w:tcPr>
            <w:tcW w:w="2035"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9.36</w:t>
            </w:r>
          </w:p>
        </w:tc>
        <w:tc>
          <w:tcPr>
            <w:tcW w:w="1231"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11.00</w:t>
            </w:r>
          </w:p>
        </w:tc>
        <w:tc>
          <w:tcPr>
            <w:tcW w:w="1248"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5.16</w:t>
            </w:r>
          </w:p>
        </w:tc>
        <w:tc>
          <w:tcPr>
            <w:tcW w:w="1247"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7.70</w:t>
            </w:r>
          </w:p>
        </w:tc>
        <w:tc>
          <w:tcPr>
            <w:tcW w:w="178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8.64</w:t>
            </w:r>
          </w:p>
        </w:tc>
        <w:tc>
          <w:tcPr>
            <w:tcW w:w="1901" w:type="dxa"/>
            <w:tcBorders>
              <w:right w:val="single" w:sz="4" w:space="0" w:color="auto"/>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9.19</w:t>
            </w:r>
          </w:p>
        </w:tc>
      </w:tr>
      <w:tr w:rsidR="00B35F2B" w:rsidRPr="00B35F2B" w:rsidTr="004A4F2B">
        <w:trPr>
          <w:gridAfter w:val="9"/>
          <w:wAfter w:w="14004" w:type="dxa"/>
          <w:trHeight w:val="227"/>
        </w:trPr>
        <w:tc>
          <w:tcPr>
            <w:tcW w:w="1121" w:type="dxa"/>
            <w:tcBorders>
              <w:left w:val="single" w:sz="4" w:space="0" w:color="auto"/>
            </w:tcBorders>
            <w:shd w:val="clear" w:color="auto" w:fill="D9D9D9" w:themeFill="background1" w:themeFillShade="D9"/>
            <w:vAlign w:val="center"/>
          </w:tcPr>
          <w:p w:rsidR="00B35F2B" w:rsidRPr="00B421C3" w:rsidRDefault="00B35F2B" w:rsidP="00B421C3">
            <w:pPr>
              <w:snapToGrid w:val="0"/>
              <w:jc w:val="center"/>
              <w:rPr>
                <w:rFonts w:ascii="Palatino Linotype" w:hAnsi="Palatino Linotype"/>
                <w:sz w:val="14"/>
                <w:szCs w:val="14"/>
              </w:rPr>
            </w:pPr>
            <w:r w:rsidRPr="00B421C3">
              <w:rPr>
                <w:rFonts w:ascii="Palatino Linotype" w:hAnsi="Palatino Linotype"/>
                <w:sz w:val="14"/>
                <w:szCs w:val="14"/>
              </w:rPr>
              <w:t>10/16</w:t>
            </w:r>
          </w:p>
        </w:tc>
        <w:tc>
          <w:tcPr>
            <w:tcW w:w="1247"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8.07</w:t>
            </w:r>
          </w:p>
        </w:tc>
        <w:tc>
          <w:tcPr>
            <w:tcW w:w="126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10.08</w:t>
            </w:r>
          </w:p>
        </w:tc>
        <w:tc>
          <w:tcPr>
            <w:tcW w:w="1265"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10.46</w:t>
            </w:r>
          </w:p>
        </w:tc>
        <w:tc>
          <w:tcPr>
            <w:tcW w:w="2035"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9.19</w:t>
            </w:r>
          </w:p>
        </w:tc>
        <w:tc>
          <w:tcPr>
            <w:tcW w:w="1231"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12.41</w:t>
            </w:r>
          </w:p>
        </w:tc>
        <w:tc>
          <w:tcPr>
            <w:tcW w:w="1248"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5.23</w:t>
            </w:r>
          </w:p>
        </w:tc>
        <w:tc>
          <w:tcPr>
            <w:tcW w:w="1247"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7.69</w:t>
            </w:r>
          </w:p>
        </w:tc>
        <w:tc>
          <w:tcPr>
            <w:tcW w:w="178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9.42</w:t>
            </w:r>
          </w:p>
        </w:tc>
        <w:tc>
          <w:tcPr>
            <w:tcW w:w="1901" w:type="dxa"/>
            <w:tcBorders>
              <w:right w:val="single" w:sz="4" w:space="0" w:color="auto"/>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9.25</w:t>
            </w:r>
          </w:p>
        </w:tc>
      </w:tr>
      <w:tr w:rsidR="00B35F2B" w:rsidRPr="00B35F2B" w:rsidTr="004A4F2B">
        <w:trPr>
          <w:gridAfter w:val="9"/>
          <w:wAfter w:w="14004" w:type="dxa"/>
          <w:trHeight w:val="227"/>
        </w:trPr>
        <w:tc>
          <w:tcPr>
            <w:tcW w:w="1121" w:type="dxa"/>
            <w:tcBorders>
              <w:left w:val="single" w:sz="4" w:space="0" w:color="auto"/>
            </w:tcBorders>
            <w:shd w:val="clear" w:color="auto" w:fill="D9D9D9" w:themeFill="background1" w:themeFillShade="D9"/>
            <w:vAlign w:val="center"/>
          </w:tcPr>
          <w:p w:rsidR="00B35F2B" w:rsidRPr="00B421C3" w:rsidRDefault="00B35F2B" w:rsidP="00B421C3">
            <w:pPr>
              <w:snapToGrid w:val="0"/>
              <w:jc w:val="center"/>
              <w:rPr>
                <w:rFonts w:ascii="Palatino Linotype" w:hAnsi="Palatino Linotype"/>
                <w:sz w:val="14"/>
                <w:szCs w:val="14"/>
              </w:rPr>
            </w:pPr>
            <w:r w:rsidRPr="00B421C3">
              <w:rPr>
                <w:rFonts w:ascii="Palatino Linotype" w:hAnsi="Palatino Linotype"/>
                <w:sz w:val="14"/>
                <w:szCs w:val="14"/>
              </w:rPr>
              <w:t>11/16</w:t>
            </w:r>
          </w:p>
        </w:tc>
        <w:tc>
          <w:tcPr>
            <w:tcW w:w="1247"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8.17</w:t>
            </w:r>
          </w:p>
        </w:tc>
        <w:tc>
          <w:tcPr>
            <w:tcW w:w="126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10.21</w:t>
            </w:r>
          </w:p>
        </w:tc>
        <w:tc>
          <w:tcPr>
            <w:tcW w:w="1265"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10.42</w:t>
            </w:r>
          </w:p>
        </w:tc>
        <w:tc>
          <w:tcPr>
            <w:tcW w:w="2035"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9.29</w:t>
            </w:r>
          </w:p>
        </w:tc>
        <w:tc>
          <w:tcPr>
            <w:tcW w:w="1231"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11.86</w:t>
            </w:r>
          </w:p>
        </w:tc>
        <w:tc>
          <w:tcPr>
            <w:tcW w:w="1248"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5.71</w:t>
            </w:r>
          </w:p>
        </w:tc>
        <w:tc>
          <w:tcPr>
            <w:tcW w:w="1247"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7.67</w:t>
            </w:r>
          </w:p>
        </w:tc>
        <w:tc>
          <w:tcPr>
            <w:tcW w:w="178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9.28</w:t>
            </w:r>
          </w:p>
        </w:tc>
        <w:tc>
          <w:tcPr>
            <w:tcW w:w="1901" w:type="dxa"/>
            <w:tcBorders>
              <w:right w:val="single" w:sz="4" w:space="0" w:color="auto"/>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9.29</w:t>
            </w:r>
          </w:p>
        </w:tc>
      </w:tr>
      <w:tr w:rsidR="00B35F2B" w:rsidRPr="00B35F2B" w:rsidTr="004A4F2B">
        <w:trPr>
          <w:gridAfter w:val="9"/>
          <w:wAfter w:w="14004" w:type="dxa"/>
          <w:trHeight w:val="227"/>
        </w:trPr>
        <w:tc>
          <w:tcPr>
            <w:tcW w:w="1121" w:type="dxa"/>
            <w:tcBorders>
              <w:left w:val="single" w:sz="4" w:space="0" w:color="auto"/>
            </w:tcBorders>
            <w:shd w:val="clear" w:color="auto" w:fill="D9D9D9" w:themeFill="background1" w:themeFillShade="D9"/>
            <w:vAlign w:val="center"/>
          </w:tcPr>
          <w:p w:rsidR="00B35F2B" w:rsidRPr="00B421C3" w:rsidRDefault="00B35F2B" w:rsidP="00B421C3">
            <w:pPr>
              <w:snapToGrid w:val="0"/>
              <w:jc w:val="center"/>
              <w:rPr>
                <w:rFonts w:ascii="Palatino Linotype" w:hAnsi="Palatino Linotype"/>
                <w:sz w:val="14"/>
                <w:szCs w:val="14"/>
              </w:rPr>
            </w:pPr>
            <w:r w:rsidRPr="00B421C3">
              <w:rPr>
                <w:rFonts w:ascii="Palatino Linotype" w:hAnsi="Palatino Linotype"/>
                <w:sz w:val="14"/>
                <w:szCs w:val="14"/>
              </w:rPr>
              <w:t>12/16</w:t>
            </w:r>
          </w:p>
        </w:tc>
        <w:tc>
          <w:tcPr>
            <w:tcW w:w="1247"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8.87</w:t>
            </w:r>
          </w:p>
        </w:tc>
        <w:tc>
          <w:tcPr>
            <w:tcW w:w="126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10.37</w:t>
            </w:r>
          </w:p>
        </w:tc>
        <w:tc>
          <w:tcPr>
            <w:tcW w:w="1265"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9.98</w:t>
            </w:r>
          </w:p>
        </w:tc>
        <w:tc>
          <w:tcPr>
            <w:tcW w:w="2035"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9.64</w:t>
            </w:r>
          </w:p>
        </w:tc>
        <w:tc>
          <w:tcPr>
            <w:tcW w:w="1231"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12.92</w:t>
            </w:r>
          </w:p>
        </w:tc>
        <w:tc>
          <w:tcPr>
            <w:tcW w:w="1248"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5.16</w:t>
            </w:r>
          </w:p>
        </w:tc>
        <w:tc>
          <w:tcPr>
            <w:tcW w:w="1247"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7.66</w:t>
            </w:r>
          </w:p>
        </w:tc>
        <w:tc>
          <w:tcPr>
            <w:tcW w:w="1784" w:type="dxa"/>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9.85</w:t>
            </w:r>
          </w:p>
        </w:tc>
        <w:tc>
          <w:tcPr>
            <w:tcW w:w="1901" w:type="dxa"/>
            <w:tcBorders>
              <w:right w:val="single" w:sz="4" w:space="0" w:color="auto"/>
            </w:tcBorders>
            <w:shd w:val="clear" w:color="auto" w:fill="D9D9D9" w:themeFill="background1" w:themeFillShade="D9"/>
            <w:vAlign w:val="bottom"/>
          </w:tcPr>
          <w:p w:rsidR="00B35F2B" w:rsidRPr="00B35F2B" w:rsidRDefault="00B35F2B" w:rsidP="00B35F2B">
            <w:pPr>
              <w:snapToGrid w:val="0"/>
              <w:jc w:val="center"/>
              <w:rPr>
                <w:rFonts w:ascii="Palatino Linotype" w:hAnsi="Palatino Linotype"/>
                <w:sz w:val="14"/>
                <w:szCs w:val="14"/>
              </w:rPr>
            </w:pPr>
            <w:r w:rsidRPr="00B35F2B">
              <w:rPr>
                <w:rFonts w:ascii="Palatino Linotype" w:hAnsi="Palatino Linotype"/>
                <w:sz w:val="14"/>
                <w:szCs w:val="14"/>
              </w:rPr>
              <w:t>9.69</w:t>
            </w:r>
          </w:p>
        </w:tc>
      </w:tr>
      <w:tr w:rsidR="00622531" w:rsidTr="00531F6E">
        <w:trPr>
          <w:cantSplit/>
          <w:trHeight w:val="227"/>
        </w:trPr>
        <w:tc>
          <w:tcPr>
            <w:tcW w:w="14343" w:type="dxa"/>
            <w:gridSpan w:val="10"/>
            <w:tcBorders>
              <w:left w:val="single" w:sz="4" w:space="0" w:color="auto"/>
              <w:right w:val="single" w:sz="4" w:space="0" w:color="auto"/>
            </w:tcBorders>
            <w:vAlign w:val="bottom"/>
          </w:tcPr>
          <w:p w:rsidR="00622531" w:rsidRPr="00EF5DAB" w:rsidRDefault="00622531" w:rsidP="007050AC">
            <w:pPr>
              <w:pStyle w:val="Piedecuadro"/>
              <w:pBdr>
                <w:top w:val="single" w:sz="4" w:space="1" w:color="auto"/>
                <w:left w:val="single" w:sz="4" w:space="4" w:color="auto"/>
                <w:bottom w:val="single" w:sz="4" w:space="1" w:color="auto"/>
                <w:right w:val="single" w:sz="4" w:space="4" w:color="auto"/>
              </w:pBdr>
              <w:tabs>
                <w:tab w:val="left" w:pos="9695"/>
              </w:tabs>
              <w:spacing w:line="240" w:lineRule="auto"/>
              <w:jc w:val="left"/>
              <w:rPr>
                <w:rFonts w:ascii="Palatino Linotype" w:hAnsi="Palatino Linotype"/>
                <w:i/>
                <w:sz w:val="14"/>
                <w:szCs w:val="14"/>
              </w:rPr>
            </w:pPr>
            <w:r>
              <w:rPr>
                <w:rFonts w:ascii="Palatino Linotype" w:hAnsi="Palatino Linotype"/>
                <w:sz w:val="14"/>
                <w:szCs w:val="14"/>
              </w:rPr>
              <w:t xml:space="preserve"> </w:t>
            </w:r>
            <w:r w:rsidRPr="00EF5DAB">
              <w:rPr>
                <w:rFonts w:ascii="Palatino Linotype" w:hAnsi="Palatino Linotype"/>
                <w:i/>
                <w:sz w:val="14"/>
                <w:szCs w:val="14"/>
              </w:rPr>
              <w:t xml:space="preserve">Fuente: Predicciones elaboradas por </w:t>
            </w:r>
            <w:proofErr w:type="spellStart"/>
            <w:r w:rsidRPr="00ED2A4F">
              <w:rPr>
                <w:rFonts w:ascii="Arial Black" w:hAnsi="Arial Black"/>
                <w:b/>
                <w:color w:val="99284C"/>
                <w:sz w:val="14"/>
                <w:szCs w:val="14"/>
              </w:rPr>
              <w:t>cinve</w:t>
            </w:r>
            <w:proofErr w:type="spellEnd"/>
            <w:r>
              <w:rPr>
                <w:rFonts w:ascii="Palatino Linotype" w:hAnsi="Palatino Linotype"/>
                <w:i/>
                <w:sz w:val="14"/>
                <w:szCs w:val="14"/>
              </w:rPr>
              <w:t xml:space="preserve"> </w:t>
            </w:r>
            <w:r w:rsidRPr="00EF5DAB">
              <w:rPr>
                <w:rFonts w:ascii="Palatino Linotype" w:hAnsi="Palatino Linotype"/>
                <w:i/>
                <w:sz w:val="14"/>
                <w:szCs w:val="14"/>
              </w:rPr>
              <w:t xml:space="preserve">al </w:t>
            </w:r>
            <w:r w:rsidR="003D6F25">
              <w:rPr>
                <w:rFonts w:ascii="Palatino Linotype" w:hAnsi="Palatino Linotype"/>
                <w:i/>
                <w:sz w:val="14"/>
                <w:szCs w:val="14"/>
              </w:rPr>
              <w:t>24</w:t>
            </w:r>
            <w:r>
              <w:rPr>
                <w:rFonts w:ascii="Palatino Linotype" w:hAnsi="Palatino Linotype"/>
                <w:sz w:val="14"/>
                <w:szCs w:val="14"/>
              </w:rPr>
              <w:t>/0</w:t>
            </w:r>
            <w:r w:rsidR="003D6F25">
              <w:rPr>
                <w:rFonts w:ascii="Palatino Linotype" w:hAnsi="Palatino Linotype"/>
                <w:sz w:val="14"/>
                <w:szCs w:val="14"/>
              </w:rPr>
              <w:t>8</w:t>
            </w:r>
            <w:r>
              <w:rPr>
                <w:rFonts w:ascii="Palatino Linotype" w:hAnsi="Palatino Linotype"/>
                <w:sz w:val="14"/>
                <w:szCs w:val="14"/>
              </w:rPr>
              <w:t>/2016</w:t>
            </w:r>
            <w:r>
              <w:rPr>
                <w:rFonts w:ascii="Palatino Linotype" w:hAnsi="Palatino Linotype"/>
                <w:i/>
                <w:sz w:val="14"/>
                <w:szCs w:val="14"/>
              </w:rPr>
              <w:t>.</w:t>
            </w:r>
          </w:p>
          <w:p w:rsidR="00622531" w:rsidRDefault="00622531" w:rsidP="007050AC">
            <w:pPr>
              <w:pStyle w:val="Piedecuadro"/>
              <w:pBdr>
                <w:top w:val="single" w:sz="4" w:space="1" w:color="auto"/>
                <w:left w:val="single" w:sz="4" w:space="4" w:color="auto"/>
                <w:bottom w:val="single" w:sz="4" w:space="1" w:color="auto"/>
                <w:right w:val="single" w:sz="4" w:space="4" w:color="auto"/>
              </w:pBdr>
              <w:snapToGrid w:val="0"/>
              <w:spacing w:line="240" w:lineRule="auto"/>
              <w:jc w:val="left"/>
              <w:rPr>
                <w:rFonts w:ascii="Palatino Linotype" w:hAnsi="Palatino Linotype"/>
                <w:bCs/>
                <w:sz w:val="14"/>
                <w:szCs w:val="14"/>
              </w:rPr>
            </w:pPr>
          </w:p>
          <w:p w:rsidR="00622531" w:rsidRDefault="00622531" w:rsidP="007050AC">
            <w:pPr>
              <w:pStyle w:val="Piedecuadro"/>
              <w:pBdr>
                <w:top w:val="single" w:sz="4" w:space="1" w:color="auto"/>
                <w:left w:val="single" w:sz="4" w:space="4" w:color="auto"/>
                <w:bottom w:val="single" w:sz="4" w:space="1" w:color="auto"/>
                <w:right w:val="single" w:sz="4" w:space="4" w:color="auto"/>
              </w:pBdr>
              <w:snapToGrid w:val="0"/>
              <w:spacing w:line="240" w:lineRule="auto"/>
              <w:jc w:val="left"/>
              <w:rPr>
                <w:rFonts w:ascii="Palatino Linotype" w:hAnsi="Palatino Linotype"/>
                <w:bCs/>
                <w:sz w:val="14"/>
                <w:szCs w:val="14"/>
              </w:rPr>
            </w:pPr>
            <w:r>
              <w:rPr>
                <w:rFonts w:ascii="Palatino Linotype" w:hAnsi="Palatino Linotype"/>
                <w:bCs/>
                <w:sz w:val="14"/>
                <w:szCs w:val="14"/>
              </w:rPr>
              <w:t xml:space="preserve"> BENE: Bienes Elaborados No Energéticos. </w:t>
            </w:r>
          </w:p>
          <w:p w:rsidR="00622531" w:rsidRDefault="00622531" w:rsidP="007050AC">
            <w:pPr>
              <w:pStyle w:val="Piedecuadro"/>
              <w:pBdr>
                <w:top w:val="single" w:sz="4" w:space="1" w:color="auto"/>
                <w:left w:val="single" w:sz="4" w:space="4" w:color="auto"/>
                <w:bottom w:val="single" w:sz="4" w:space="1" w:color="auto"/>
                <w:right w:val="single" w:sz="4" w:space="4" w:color="auto"/>
              </w:pBdr>
              <w:snapToGrid w:val="0"/>
              <w:spacing w:line="240" w:lineRule="auto"/>
              <w:jc w:val="left"/>
              <w:rPr>
                <w:rFonts w:ascii="Palatino Linotype" w:hAnsi="Palatino Linotype"/>
                <w:bCs/>
                <w:sz w:val="14"/>
                <w:szCs w:val="14"/>
              </w:rPr>
            </w:pPr>
            <w:r>
              <w:rPr>
                <w:rFonts w:ascii="Palatino Linotype" w:hAnsi="Palatino Linotype"/>
                <w:bCs/>
                <w:sz w:val="14"/>
                <w:szCs w:val="14"/>
              </w:rPr>
              <w:t xml:space="preserve"> </w:t>
            </w:r>
            <w:proofErr w:type="spellStart"/>
            <w:r>
              <w:rPr>
                <w:rFonts w:ascii="Palatino Linotype" w:hAnsi="Palatino Linotype"/>
                <w:bCs/>
                <w:sz w:val="14"/>
                <w:szCs w:val="14"/>
              </w:rPr>
              <w:t>SERVnoA</w:t>
            </w:r>
            <w:proofErr w:type="spellEnd"/>
            <w:r>
              <w:rPr>
                <w:rFonts w:ascii="Palatino Linotype" w:hAnsi="Palatino Linotype"/>
                <w:bCs/>
                <w:sz w:val="14"/>
                <w:szCs w:val="14"/>
              </w:rPr>
              <w:t>: Servicios No Administrados</w:t>
            </w:r>
          </w:p>
          <w:p w:rsidR="00622531" w:rsidRDefault="00622531" w:rsidP="007050AC">
            <w:pPr>
              <w:pStyle w:val="Piedecuadro"/>
              <w:pBdr>
                <w:top w:val="single" w:sz="4" w:space="1" w:color="auto"/>
                <w:left w:val="single" w:sz="4" w:space="4" w:color="auto"/>
                <w:bottom w:val="single" w:sz="4" w:space="1" w:color="auto"/>
                <w:right w:val="single" w:sz="4" w:space="4" w:color="auto"/>
              </w:pBdr>
              <w:snapToGrid w:val="0"/>
              <w:spacing w:line="240" w:lineRule="auto"/>
              <w:jc w:val="left"/>
              <w:rPr>
                <w:rFonts w:ascii="Palatino Linotype" w:hAnsi="Palatino Linotype"/>
                <w:bCs/>
                <w:sz w:val="14"/>
                <w:szCs w:val="14"/>
              </w:rPr>
            </w:pPr>
            <w:r>
              <w:rPr>
                <w:rFonts w:ascii="Palatino Linotype" w:hAnsi="Palatino Linotype"/>
                <w:bCs/>
                <w:sz w:val="14"/>
                <w:szCs w:val="14"/>
              </w:rPr>
              <w:t xml:space="preserve"> </w:t>
            </w:r>
            <w:proofErr w:type="spellStart"/>
            <w:r>
              <w:rPr>
                <w:rFonts w:ascii="Palatino Linotype" w:hAnsi="Palatino Linotype"/>
                <w:bCs/>
                <w:sz w:val="14"/>
                <w:szCs w:val="14"/>
              </w:rPr>
              <w:t>SerVAd</w:t>
            </w:r>
            <w:proofErr w:type="spellEnd"/>
            <w:r>
              <w:rPr>
                <w:rFonts w:ascii="Palatino Linotype" w:hAnsi="Palatino Linotype"/>
                <w:bCs/>
                <w:sz w:val="14"/>
                <w:szCs w:val="14"/>
              </w:rPr>
              <w:t xml:space="preserve">: Servicios Administrados </w:t>
            </w:r>
          </w:p>
          <w:p w:rsidR="00622531" w:rsidRDefault="00622531" w:rsidP="007050AC">
            <w:pPr>
              <w:pStyle w:val="Piedecuadro"/>
              <w:pBdr>
                <w:top w:val="single" w:sz="4" w:space="1" w:color="auto"/>
                <w:left w:val="single" w:sz="4" w:space="4" w:color="auto"/>
                <w:bottom w:val="single" w:sz="4" w:space="1" w:color="auto"/>
                <w:right w:val="single" w:sz="4" w:space="4" w:color="auto"/>
              </w:pBdr>
              <w:snapToGrid w:val="0"/>
              <w:spacing w:line="240" w:lineRule="auto"/>
              <w:jc w:val="left"/>
              <w:rPr>
                <w:rFonts w:ascii="Palatino Linotype" w:hAnsi="Palatino Linotype"/>
                <w:bCs/>
                <w:sz w:val="14"/>
                <w:szCs w:val="14"/>
              </w:rPr>
            </w:pPr>
            <w:r>
              <w:rPr>
                <w:rFonts w:ascii="Palatino Linotype" w:hAnsi="Palatino Linotype"/>
                <w:bCs/>
                <w:sz w:val="14"/>
                <w:szCs w:val="14"/>
              </w:rPr>
              <w:t xml:space="preserve"> ANE: Alimentos No Elaborados. </w:t>
            </w:r>
          </w:p>
          <w:p w:rsidR="00622531" w:rsidRDefault="00622531" w:rsidP="007050AC">
            <w:pPr>
              <w:pStyle w:val="Piedecuadro"/>
              <w:pBdr>
                <w:top w:val="single" w:sz="4" w:space="1" w:color="auto"/>
                <w:left w:val="single" w:sz="4" w:space="4" w:color="auto"/>
                <w:bottom w:val="single" w:sz="4" w:space="1" w:color="auto"/>
                <w:right w:val="single" w:sz="4" w:space="4" w:color="auto"/>
              </w:pBdr>
              <w:snapToGrid w:val="0"/>
              <w:spacing w:line="240" w:lineRule="auto"/>
              <w:jc w:val="left"/>
              <w:rPr>
                <w:rFonts w:ascii="Palatino Linotype" w:hAnsi="Palatino Linotype"/>
                <w:bCs/>
                <w:sz w:val="14"/>
                <w:szCs w:val="14"/>
              </w:rPr>
            </w:pPr>
            <w:r>
              <w:rPr>
                <w:rFonts w:ascii="Palatino Linotype" w:hAnsi="Palatino Linotype"/>
                <w:bCs/>
                <w:sz w:val="14"/>
                <w:szCs w:val="14"/>
              </w:rPr>
              <w:t xml:space="preserve"> ENE: Energéticos. </w:t>
            </w:r>
          </w:p>
          <w:p w:rsidR="00622531" w:rsidRDefault="00622531" w:rsidP="007050AC">
            <w:pPr>
              <w:pStyle w:val="Piedecuadro"/>
              <w:pBdr>
                <w:top w:val="single" w:sz="4" w:space="1" w:color="auto"/>
                <w:left w:val="single" w:sz="4" w:space="4" w:color="auto"/>
                <w:bottom w:val="single" w:sz="4" w:space="1" w:color="auto"/>
                <w:right w:val="single" w:sz="4" w:space="4" w:color="auto"/>
              </w:pBdr>
              <w:snapToGrid w:val="0"/>
              <w:spacing w:line="240" w:lineRule="auto"/>
              <w:jc w:val="left"/>
              <w:rPr>
                <w:rFonts w:ascii="Palatino Linotype" w:hAnsi="Palatino Linotype"/>
                <w:bCs/>
                <w:sz w:val="14"/>
                <w:szCs w:val="14"/>
              </w:rPr>
            </w:pPr>
            <w:r>
              <w:rPr>
                <w:rFonts w:ascii="Palatino Linotype" w:hAnsi="Palatino Linotype"/>
                <w:bCs/>
                <w:sz w:val="14"/>
                <w:szCs w:val="14"/>
              </w:rPr>
              <w:t xml:space="preserve"> </w:t>
            </w:r>
            <w:proofErr w:type="spellStart"/>
            <w:r>
              <w:rPr>
                <w:rFonts w:ascii="Palatino Linotype" w:hAnsi="Palatino Linotype"/>
                <w:bCs/>
                <w:sz w:val="14"/>
                <w:szCs w:val="14"/>
              </w:rPr>
              <w:t>SERVPub</w:t>
            </w:r>
            <w:proofErr w:type="spellEnd"/>
            <w:r>
              <w:rPr>
                <w:rFonts w:ascii="Palatino Linotype" w:hAnsi="Palatino Linotype"/>
                <w:bCs/>
                <w:sz w:val="14"/>
                <w:szCs w:val="14"/>
              </w:rPr>
              <w:t>: Servicios administrados públicos.</w:t>
            </w:r>
          </w:p>
        </w:tc>
        <w:tc>
          <w:tcPr>
            <w:tcW w:w="1556" w:type="dxa"/>
            <w:vAlign w:val="bottom"/>
          </w:tcPr>
          <w:p w:rsidR="00622531" w:rsidRDefault="00622531">
            <w:pPr>
              <w:jc w:val="center"/>
              <w:rPr>
                <w:rFonts w:ascii="Arial" w:hAnsi="Arial" w:cs="Arial"/>
                <w:sz w:val="20"/>
                <w:szCs w:val="20"/>
              </w:rPr>
            </w:pPr>
          </w:p>
        </w:tc>
        <w:tc>
          <w:tcPr>
            <w:tcW w:w="1556" w:type="dxa"/>
            <w:vAlign w:val="bottom"/>
          </w:tcPr>
          <w:p w:rsidR="00622531" w:rsidRDefault="00622531">
            <w:pPr>
              <w:jc w:val="center"/>
              <w:rPr>
                <w:rFonts w:ascii="Arial" w:hAnsi="Arial" w:cs="Arial"/>
                <w:sz w:val="20"/>
                <w:szCs w:val="20"/>
              </w:rPr>
            </w:pPr>
          </w:p>
        </w:tc>
        <w:tc>
          <w:tcPr>
            <w:tcW w:w="1556" w:type="dxa"/>
            <w:vAlign w:val="bottom"/>
          </w:tcPr>
          <w:p w:rsidR="00622531" w:rsidRDefault="00622531">
            <w:pPr>
              <w:jc w:val="center"/>
              <w:rPr>
                <w:rFonts w:ascii="Arial" w:hAnsi="Arial" w:cs="Arial"/>
                <w:sz w:val="20"/>
                <w:szCs w:val="20"/>
              </w:rPr>
            </w:pPr>
            <w:r>
              <w:rPr>
                <w:rFonts w:ascii="Arial" w:hAnsi="Arial" w:cs="Arial"/>
                <w:sz w:val="20"/>
                <w:szCs w:val="20"/>
              </w:rPr>
              <w:t>8.01</w:t>
            </w:r>
          </w:p>
        </w:tc>
        <w:tc>
          <w:tcPr>
            <w:tcW w:w="1556" w:type="dxa"/>
            <w:vAlign w:val="bottom"/>
          </w:tcPr>
          <w:p w:rsidR="00622531" w:rsidRDefault="00622531">
            <w:pPr>
              <w:jc w:val="center"/>
              <w:rPr>
                <w:rFonts w:ascii="Arial" w:hAnsi="Arial" w:cs="Arial"/>
                <w:sz w:val="20"/>
                <w:szCs w:val="20"/>
              </w:rPr>
            </w:pPr>
            <w:r>
              <w:rPr>
                <w:rFonts w:ascii="Arial" w:hAnsi="Arial" w:cs="Arial"/>
                <w:sz w:val="20"/>
                <w:szCs w:val="20"/>
              </w:rPr>
              <w:t>8.28</w:t>
            </w:r>
          </w:p>
        </w:tc>
        <w:tc>
          <w:tcPr>
            <w:tcW w:w="1556" w:type="dxa"/>
            <w:vAlign w:val="bottom"/>
          </w:tcPr>
          <w:p w:rsidR="00622531" w:rsidRDefault="00622531">
            <w:pPr>
              <w:jc w:val="center"/>
              <w:rPr>
                <w:rFonts w:ascii="Arial" w:hAnsi="Arial" w:cs="Arial"/>
                <w:sz w:val="20"/>
                <w:szCs w:val="20"/>
              </w:rPr>
            </w:pPr>
            <w:r>
              <w:rPr>
                <w:rFonts w:ascii="Arial" w:hAnsi="Arial" w:cs="Arial"/>
                <w:sz w:val="20"/>
                <w:szCs w:val="20"/>
              </w:rPr>
              <w:t>10.63</w:t>
            </w:r>
          </w:p>
        </w:tc>
        <w:tc>
          <w:tcPr>
            <w:tcW w:w="1556" w:type="dxa"/>
            <w:vAlign w:val="bottom"/>
          </w:tcPr>
          <w:p w:rsidR="00622531" w:rsidRDefault="00622531">
            <w:pPr>
              <w:jc w:val="center"/>
              <w:rPr>
                <w:rFonts w:ascii="Arial" w:hAnsi="Arial" w:cs="Arial"/>
                <w:sz w:val="20"/>
                <w:szCs w:val="20"/>
              </w:rPr>
            </w:pPr>
            <w:r>
              <w:rPr>
                <w:rFonts w:ascii="Arial" w:hAnsi="Arial" w:cs="Arial"/>
                <w:sz w:val="20"/>
                <w:szCs w:val="20"/>
              </w:rPr>
              <w:t>3.77</w:t>
            </w:r>
          </w:p>
        </w:tc>
        <w:tc>
          <w:tcPr>
            <w:tcW w:w="1556" w:type="dxa"/>
            <w:vAlign w:val="bottom"/>
          </w:tcPr>
          <w:p w:rsidR="00622531" w:rsidRDefault="00622531">
            <w:pPr>
              <w:jc w:val="center"/>
              <w:rPr>
                <w:rFonts w:ascii="Arial" w:hAnsi="Arial" w:cs="Arial"/>
                <w:sz w:val="20"/>
                <w:szCs w:val="20"/>
              </w:rPr>
            </w:pPr>
            <w:r>
              <w:rPr>
                <w:rFonts w:ascii="Arial" w:hAnsi="Arial" w:cs="Arial"/>
                <w:sz w:val="20"/>
                <w:szCs w:val="20"/>
              </w:rPr>
              <w:t>5.46</w:t>
            </w:r>
          </w:p>
        </w:tc>
        <w:tc>
          <w:tcPr>
            <w:tcW w:w="1556" w:type="dxa"/>
            <w:vAlign w:val="bottom"/>
          </w:tcPr>
          <w:p w:rsidR="00622531" w:rsidRDefault="00622531">
            <w:pPr>
              <w:jc w:val="center"/>
              <w:rPr>
                <w:rFonts w:ascii="Arial" w:hAnsi="Arial" w:cs="Arial"/>
                <w:sz w:val="20"/>
                <w:szCs w:val="20"/>
              </w:rPr>
            </w:pPr>
            <w:r>
              <w:rPr>
                <w:rFonts w:ascii="Arial" w:hAnsi="Arial" w:cs="Arial"/>
                <w:sz w:val="20"/>
                <w:szCs w:val="20"/>
              </w:rPr>
              <w:t>7.49</w:t>
            </w:r>
          </w:p>
        </w:tc>
        <w:tc>
          <w:tcPr>
            <w:tcW w:w="1556" w:type="dxa"/>
            <w:vAlign w:val="bottom"/>
          </w:tcPr>
          <w:p w:rsidR="00622531" w:rsidRDefault="00622531">
            <w:pPr>
              <w:jc w:val="center"/>
              <w:rPr>
                <w:rFonts w:ascii="Arial" w:hAnsi="Arial" w:cs="Arial"/>
                <w:sz w:val="20"/>
                <w:szCs w:val="20"/>
              </w:rPr>
            </w:pPr>
            <w:r>
              <w:rPr>
                <w:rFonts w:ascii="Arial" w:hAnsi="Arial" w:cs="Arial"/>
                <w:sz w:val="20"/>
                <w:szCs w:val="20"/>
              </w:rPr>
              <w:t>8.09</w:t>
            </w:r>
          </w:p>
        </w:tc>
      </w:tr>
    </w:tbl>
    <w:p w:rsidR="00800BDE" w:rsidRDefault="00800BDE" w:rsidP="00293DFF">
      <w:pPr>
        <w:tabs>
          <w:tab w:val="left" w:pos="4140"/>
        </w:tabs>
        <w:spacing w:before="120" w:after="120"/>
        <w:jc w:val="both"/>
      </w:pPr>
    </w:p>
    <w:sectPr w:rsidR="00800BDE" w:rsidSect="00F111AA">
      <w:headerReference w:type="even" r:id="rId18"/>
      <w:headerReference w:type="default" r:id="rId19"/>
      <w:footerReference w:type="even" r:id="rId20"/>
      <w:footerReference w:type="default" r:id="rId21"/>
      <w:headerReference w:type="first" r:id="rId22"/>
      <w:footerReference w:type="first" r:id="rId23"/>
      <w:pgSz w:w="16837" w:h="11905" w:orient="landscape"/>
      <w:pgMar w:top="1527" w:right="551" w:bottom="773" w:left="1931" w:header="346" w:footer="21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57D8" w:rsidRDefault="007057D8">
      <w:r>
        <w:separator/>
      </w:r>
    </w:p>
  </w:endnote>
  <w:endnote w:type="continuationSeparator" w:id="1">
    <w:p w:rsidR="007057D8" w:rsidRDefault="007057D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7D8" w:rsidRPr="00EE0F18" w:rsidRDefault="007057D8" w:rsidP="00EE0F18">
    <w:pPr>
      <w:pStyle w:val="Piedepgina"/>
      <w:pBdr>
        <w:top w:val="single" w:sz="8" w:space="0" w:color="800080"/>
      </w:pBdr>
      <w:tabs>
        <w:tab w:val="clear" w:pos="8071"/>
        <w:tab w:val="right" w:pos="14377"/>
      </w:tabs>
      <w:rPr>
        <w:sz w:val="10"/>
        <w:szCs w:val="10"/>
      </w:rPr>
    </w:pPr>
  </w:p>
  <w:p w:rsidR="007057D8" w:rsidRDefault="007057D8" w:rsidP="00444800">
    <w:pPr>
      <w:pStyle w:val="Piedepgina"/>
      <w:tabs>
        <w:tab w:val="clear" w:pos="8071"/>
        <w:tab w:val="right" w:pos="9422"/>
      </w:tabs>
    </w:pPr>
    <w:r>
      <w:tab/>
    </w:r>
    <w:r>
      <w:tab/>
    </w:r>
    <w:r w:rsidR="00EA68ED">
      <w:rPr>
        <w:b/>
        <w:bCs/>
        <w:i/>
        <w:iCs/>
        <w:color w:val="000000"/>
        <w:sz w:val="16"/>
        <w:szCs w:val="16"/>
      </w:rPr>
      <w:fldChar w:fldCharType="begin"/>
    </w:r>
    <w:r>
      <w:rPr>
        <w:b/>
        <w:bCs/>
        <w:i/>
        <w:iCs/>
        <w:color w:val="000000"/>
        <w:sz w:val="16"/>
        <w:szCs w:val="16"/>
      </w:rPr>
      <w:instrText xml:space="preserve"> PAGE </w:instrText>
    </w:r>
    <w:r w:rsidR="00EA68ED">
      <w:rPr>
        <w:b/>
        <w:bCs/>
        <w:i/>
        <w:iCs/>
        <w:color w:val="000000"/>
        <w:sz w:val="16"/>
        <w:szCs w:val="16"/>
      </w:rPr>
      <w:fldChar w:fldCharType="separate"/>
    </w:r>
    <w:r w:rsidR="00BA0542">
      <w:rPr>
        <w:b/>
        <w:bCs/>
        <w:i/>
        <w:iCs/>
        <w:noProof/>
        <w:color w:val="000000"/>
        <w:sz w:val="16"/>
        <w:szCs w:val="16"/>
      </w:rPr>
      <w:t>4</w:t>
    </w:r>
    <w:r w:rsidR="00EA68ED">
      <w:rPr>
        <w:b/>
        <w:bCs/>
        <w:i/>
        <w:iCs/>
        <w:color w:val="000000"/>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7D8" w:rsidRDefault="007057D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7D8" w:rsidRDefault="007057D8">
    <w:pPr>
      <w:pStyle w:val="Piedepgina"/>
      <w:pBdr>
        <w:top w:val="single" w:sz="8" w:space="0" w:color="800080"/>
      </w:pBdr>
      <w:tabs>
        <w:tab w:val="clear" w:pos="8071"/>
        <w:tab w:val="right" w:pos="14377"/>
      </w:tabs>
      <w:rPr>
        <w:sz w:val="10"/>
        <w:szCs w:val="10"/>
      </w:rPr>
    </w:pPr>
  </w:p>
  <w:p w:rsidR="007057D8" w:rsidRPr="00B745CA" w:rsidRDefault="007057D8" w:rsidP="00DB1DE4">
    <w:pPr>
      <w:pStyle w:val="Piedepgina"/>
      <w:pBdr>
        <w:top w:val="single" w:sz="8" w:space="0" w:color="800080"/>
      </w:pBdr>
      <w:tabs>
        <w:tab w:val="clear" w:pos="8071"/>
        <w:tab w:val="right" w:pos="14377"/>
      </w:tabs>
      <w:rPr>
        <w:rFonts w:ascii="Palatino Linotype" w:hAnsi="Palatino Linotype"/>
        <w:color w:val="000000"/>
        <w:sz w:val="16"/>
        <w:szCs w:val="16"/>
      </w:rPr>
    </w:pPr>
    <w:r>
      <w:rPr>
        <w:rFonts w:ascii="Palatino Linotype" w:hAnsi="Palatino Linotype"/>
        <w:color w:val="000000"/>
        <w:sz w:val="16"/>
        <w:szCs w:val="16"/>
      </w:rPr>
      <w:t xml:space="preserve"> No. 170 – </w:t>
    </w:r>
    <w:r>
      <w:rPr>
        <w:rFonts w:ascii="Palatino Linotype" w:hAnsi="Palatino Linotype"/>
        <w:sz w:val="14"/>
        <w:szCs w:val="14"/>
      </w:rPr>
      <w:t xml:space="preserve"> </w:t>
    </w:r>
    <w:r>
      <w:rPr>
        <w:rFonts w:ascii="Palatino Linotype" w:hAnsi="Palatino Linotype"/>
        <w:color w:val="000000"/>
        <w:sz w:val="16"/>
        <w:szCs w:val="16"/>
      </w:rPr>
      <w:t xml:space="preserve">29 de Agosto de 2016 </w:t>
    </w:r>
    <w:r>
      <w:rPr>
        <w:rFonts w:ascii="Palatino Linotype" w:hAnsi="Palatino Linotype"/>
        <w:color w:val="000000"/>
        <w:sz w:val="16"/>
        <w:szCs w:val="16"/>
      </w:rPr>
      <w:tab/>
    </w:r>
    <w:r>
      <w:rPr>
        <w:rFonts w:ascii="Palatino Linotype" w:hAnsi="Palatino Linotype"/>
        <w:color w:val="000000"/>
        <w:sz w:val="16"/>
        <w:szCs w:val="16"/>
      </w:rPr>
      <w:tab/>
    </w:r>
    <w:r w:rsidR="00EA68ED">
      <w:rPr>
        <w:b/>
        <w:bCs/>
        <w:i/>
        <w:iCs/>
        <w:color w:val="000000"/>
        <w:sz w:val="16"/>
        <w:szCs w:val="16"/>
      </w:rPr>
      <w:fldChar w:fldCharType="begin"/>
    </w:r>
    <w:r>
      <w:rPr>
        <w:b/>
        <w:bCs/>
        <w:i/>
        <w:iCs/>
        <w:color w:val="000000"/>
        <w:sz w:val="16"/>
        <w:szCs w:val="16"/>
      </w:rPr>
      <w:instrText xml:space="preserve"> PAGE </w:instrText>
    </w:r>
    <w:r w:rsidR="00EA68ED">
      <w:rPr>
        <w:b/>
        <w:bCs/>
        <w:i/>
        <w:iCs/>
        <w:color w:val="000000"/>
        <w:sz w:val="16"/>
        <w:szCs w:val="16"/>
      </w:rPr>
      <w:fldChar w:fldCharType="separate"/>
    </w:r>
    <w:r w:rsidR="00BA0542">
      <w:rPr>
        <w:b/>
        <w:bCs/>
        <w:i/>
        <w:iCs/>
        <w:noProof/>
        <w:color w:val="000000"/>
        <w:sz w:val="16"/>
        <w:szCs w:val="16"/>
      </w:rPr>
      <w:t>8</w:t>
    </w:r>
    <w:r w:rsidR="00EA68ED">
      <w:rPr>
        <w:b/>
        <w:bCs/>
        <w:i/>
        <w:iCs/>
        <w:color w:val="000000"/>
        <w:sz w:val="16"/>
        <w:szCs w:val="16"/>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7D8" w:rsidRDefault="007057D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57D8" w:rsidRDefault="007057D8">
      <w:r>
        <w:separator/>
      </w:r>
    </w:p>
  </w:footnote>
  <w:footnote w:type="continuationSeparator" w:id="1">
    <w:p w:rsidR="007057D8" w:rsidRDefault="007057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7D8" w:rsidRPr="003242EF" w:rsidRDefault="007057D8">
    <w:pPr>
      <w:pStyle w:val="Encabezado"/>
      <w:tabs>
        <w:tab w:val="clear" w:pos="4035"/>
        <w:tab w:val="clear" w:pos="8071"/>
      </w:tabs>
      <w:ind w:right="23"/>
      <w:jc w:val="right"/>
      <w:rPr>
        <w:rFonts w:ascii="Palatino Linotype" w:hAnsi="Palatino Linotype"/>
        <w:b/>
        <w:color w:val="000000"/>
        <w:sz w:val="64"/>
        <w:szCs w:val="64"/>
      </w:rPr>
    </w:pPr>
    <w:r w:rsidRPr="003242EF">
      <w:rPr>
        <w:rFonts w:ascii="Palatino Linotype" w:hAnsi="Palatino Linotype"/>
        <w:b/>
        <w:color w:val="000000"/>
        <w:sz w:val="64"/>
        <w:szCs w:val="64"/>
      </w:rPr>
      <w:t>INFORME de INFLACIÓN</w:t>
    </w:r>
  </w:p>
  <w:p w:rsidR="007057D8" w:rsidRDefault="007057D8" w:rsidP="00D01D4E">
    <w:pPr>
      <w:pStyle w:val="Encabezado"/>
      <w:pBdr>
        <w:bottom w:val="single" w:sz="8" w:space="2" w:color="800080"/>
      </w:pBdr>
      <w:tabs>
        <w:tab w:val="clear" w:pos="4035"/>
        <w:tab w:val="clear" w:pos="8071"/>
      </w:tabs>
      <w:ind w:right="23"/>
      <w:jc w:val="right"/>
      <w:rPr>
        <w:rFonts w:ascii="Palatino Linotype" w:hAnsi="Palatino Linotype"/>
        <w:b/>
        <w:color w:val="99284C"/>
        <w:sz w:val="30"/>
        <w:szCs w:val="30"/>
      </w:rPr>
    </w:pPr>
    <w:r>
      <w:rPr>
        <w:rFonts w:ascii="Palatino Linotype" w:hAnsi="Palatino Linotype"/>
        <w:b/>
        <w:color w:val="99284C"/>
        <w:sz w:val="30"/>
        <w:szCs w:val="30"/>
      </w:rPr>
      <w:t xml:space="preserve">CINVE  </w:t>
    </w:r>
    <w:r>
      <w:rPr>
        <w:rFonts w:ascii="Palatino Linotype" w:eastAsia="Palatino Linotype" w:hAnsi="Palatino Linotype" w:cs="Palatino Linotype"/>
        <w:b/>
        <w:color w:val="99284C"/>
        <w:sz w:val="30"/>
        <w:szCs w:val="30"/>
      </w:rPr>
      <w:t xml:space="preserve">▪  </w:t>
    </w:r>
    <w:r>
      <w:rPr>
        <w:rFonts w:ascii="Palatino Linotype" w:hAnsi="Palatino Linotype"/>
        <w:b/>
        <w:color w:val="99284C"/>
        <w:sz w:val="30"/>
        <w:szCs w:val="30"/>
      </w:rPr>
      <w:t>Centro de Investigaciones Económicas</w:t>
    </w:r>
  </w:p>
  <w:p w:rsidR="007057D8" w:rsidRPr="003D39F6" w:rsidRDefault="007057D8" w:rsidP="003D39F6">
    <w:pPr>
      <w:pStyle w:val="Encabezado"/>
      <w:pBdr>
        <w:bottom w:val="single" w:sz="8" w:space="2" w:color="800080"/>
      </w:pBdr>
      <w:tabs>
        <w:tab w:val="clear" w:pos="4035"/>
        <w:tab w:val="clear" w:pos="8071"/>
      </w:tabs>
      <w:ind w:right="23"/>
      <w:jc w:val="right"/>
      <w:rPr>
        <w:rFonts w:ascii="Palatino Linotype" w:hAnsi="Palatino Linotype"/>
        <w:b/>
        <w:color w:val="99284C"/>
        <w:sz w:val="12"/>
        <w:szCs w:val="30"/>
        <w:lang w:val="es-UY"/>
      </w:rPr>
    </w:pPr>
    <w:r w:rsidRPr="003D39F6">
      <w:rPr>
        <w:rFonts w:ascii="Palatino Linotype" w:hAnsi="Palatino Linotype"/>
        <w:b/>
        <w:color w:val="99284C"/>
        <w:sz w:val="12"/>
        <w:szCs w:val="30"/>
        <w:lang w:val="es-UY"/>
      </w:rPr>
      <w:t>ISSN: 2301 - 1319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7D8" w:rsidRPr="008C3291" w:rsidRDefault="007057D8" w:rsidP="008C3291">
    <w:pPr>
      <w:pStyle w:val="Encabezado"/>
      <w:pBdr>
        <w:bottom w:val="single" w:sz="2" w:space="1" w:color="782247"/>
      </w:pBdr>
      <w:tabs>
        <w:tab w:val="clear" w:pos="4035"/>
        <w:tab w:val="clear" w:pos="8071"/>
      </w:tabs>
      <w:ind w:right="23"/>
      <w:jc w:val="right"/>
      <w:rPr>
        <w:rFonts w:ascii="Palatino Linotype" w:hAnsi="Palatino Linotype"/>
        <w:b/>
        <w:color w:val="000000"/>
        <w:sz w:val="36"/>
        <w:szCs w:val="64"/>
      </w:rPr>
    </w:pPr>
    <w:r w:rsidRPr="003242EF">
      <w:rPr>
        <w:rFonts w:ascii="Palatino Linotype" w:hAnsi="Palatino Linotype"/>
        <w:b/>
        <w:color w:val="000000"/>
        <w:sz w:val="36"/>
        <w:szCs w:val="64"/>
      </w:rPr>
      <w:t>INFORME de INFLACIÓN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7D8" w:rsidRDefault="007057D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7D8" w:rsidRPr="003242EF" w:rsidRDefault="007057D8">
    <w:pPr>
      <w:pStyle w:val="Encabezado"/>
      <w:tabs>
        <w:tab w:val="clear" w:pos="4035"/>
        <w:tab w:val="clear" w:pos="8071"/>
      </w:tabs>
      <w:ind w:right="23"/>
      <w:jc w:val="right"/>
      <w:rPr>
        <w:rFonts w:ascii="Palatino Linotype" w:hAnsi="Palatino Linotype"/>
        <w:b/>
        <w:color w:val="000000"/>
        <w:sz w:val="40"/>
        <w:szCs w:val="40"/>
      </w:rPr>
    </w:pPr>
    <w:r>
      <w:rPr>
        <w:noProof/>
        <w:lang w:eastAsia="es-ES"/>
      </w:rPr>
      <w:drawing>
        <wp:anchor distT="0" distB="0" distL="114935" distR="114935" simplePos="0" relativeHeight="251657728" behindDoc="1" locked="0" layoutInCell="1" allowOverlap="1">
          <wp:simplePos x="0" y="0"/>
          <wp:positionH relativeFrom="column">
            <wp:posOffset>-2164715</wp:posOffset>
          </wp:positionH>
          <wp:positionV relativeFrom="paragraph">
            <wp:posOffset>0</wp:posOffset>
          </wp:positionV>
          <wp:extent cx="862965" cy="755840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l="30228" t="25229" r="58377"/>
                  <a:stretch>
                    <a:fillRect/>
                  </a:stretch>
                </pic:blipFill>
                <pic:spPr bwMode="auto">
                  <a:xfrm>
                    <a:off x="0" y="0"/>
                    <a:ext cx="862965" cy="7558405"/>
                  </a:xfrm>
                  <a:prstGeom prst="rect">
                    <a:avLst/>
                  </a:prstGeom>
                  <a:solidFill>
                    <a:srgbClr val="FFFFFF"/>
                  </a:solidFill>
                  <a:ln w="9525">
                    <a:noFill/>
                    <a:miter lim="800000"/>
                    <a:headEnd/>
                    <a:tailEnd/>
                  </a:ln>
                </pic:spPr>
              </pic:pic>
            </a:graphicData>
          </a:graphic>
        </wp:anchor>
      </w:drawing>
    </w:r>
    <w:r w:rsidRPr="003242EF">
      <w:rPr>
        <w:rFonts w:ascii="Palatino Linotype" w:hAnsi="Palatino Linotype"/>
        <w:b/>
        <w:color w:val="000000"/>
        <w:sz w:val="40"/>
        <w:szCs w:val="40"/>
      </w:rPr>
      <w:t>Cuadros estadísticos</w:t>
    </w:r>
  </w:p>
  <w:p w:rsidR="007057D8" w:rsidRDefault="007057D8">
    <w:pPr>
      <w:pStyle w:val="Encabezado"/>
      <w:pBdr>
        <w:bottom w:val="single" w:sz="8" w:space="0" w:color="800080"/>
      </w:pBdr>
      <w:tabs>
        <w:tab w:val="clear" w:pos="4035"/>
        <w:tab w:val="clear" w:pos="8071"/>
      </w:tabs>
      <w:spacing w:after="60"/>
      <w:ind w:right="23"/>
      <w:jc w:val="right"/>
      <w:rPr>
        <w:rFonts w:ascii="Palatino Linotype" w:eastAsia="Palatino Linotype" w:hAnsi="Palatino Linotype" w:cs="Palatino Linotype"/>
        <w:b/>
        <w:color w:val="99284C"/>
      </w:rPr>
    </w:pPr>
    <w:r>
      <w:rPr>
        <w:rFonts w:ascii="Palatino Linotype" w:hAnsi="Palatino Linotype"/>
        <w:b/>
        <w:color w:val="99284C"/>
      </w:rPr>
      <w:t xml:space="preserve">CINVE  </w:t>
    </w:r>
    <w:r>
      <w:rPr>
        <w:rFonts w:ascii="Palatino Linotype" w:eastAsia="Palatino Linotype" w:hAnsi="Palatino Linotype" w:cs="Palatino Linotype"/>
        <w:b/>
        <w:color w:val="99284C"/>
      </w:rPr>
      <w:t xml:space="preserve">▪  </w:t>
    </w:r>
    <w:r>
      <w:rPr>
        <w:rFonts w:ascii="Palatino Linotype" w:hAnsi="Palatino Linotype"/>
        <w:b/>
        <w:color w:val="99284C"/>
      </w:rPr>
      <w:t xml:space="preserve">Centro de Investigaciones Económicas  </w:t>
    </w:r>
    <w:r>
      <w:rPr>
        <w:rFonts w:ascii="Palatino Linotype" w:eastAsia="Palatino Linotype" w:hAnsi="Palatino Linotype" w:cs="Palatino Linotype"/>
        <w:b/>
        <w:color w:val="99284C"/>
      </w:rPr>
      <w:t>▪ Área de Macroeconomía, Finanzas y Coyuntura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7D8" w:rsidRDefault="007057D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3166AF6"/>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EFC61D3A"/>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3A2E443C"/>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78861CCA"/>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8E1A0E5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2B00F11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C6625354"/>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1952DA92"/>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ED94D7A4"/>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8006C42E"/>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pStyle w:val="Ttulo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1">
    <w:nsid w:val="0FEC7A86"/>
    <w:multiLevelType w:val="hybridMultilevel"/>
    <w:tmpl w:val="3FB2258C"/>
    <w:lvl w:ilvl="0" w:tplc="93AA8EFE">
      <w:start w:val="10"/>
      <w:numFmt w:val="bullet"/>
      <w:lvlText w:val="-"/>
      <w:lvlJc w:val="left"/>
      <w:pPr>
        <w:ind w:left="1069" w:hanging="360"/>
      </w:pPr>
      <w:rPr>
        <w:rFonts w:ascii="Palatino Linotype" w:eastAsia="Lucida Sans Unicode" w:hAnsi="Palatino Linotype" w:cs="Tahoma"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2">
    <w:nsid w:val="1DA746A6"/>
    <w:multiLevelType w:val="hybridMultilevel"/>
    <w:tmpl w:val="380EFAEA"/>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3">
    <w:nsid w:val="209829A8"/>
    <w:multiLevelType w:val="hybridMultilevel"/>
    <w:tmpl w:val="B942A118"/>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
    <w:nsid w:val="3D4C4AF3"/>
    <w:multiLevelType w:val="hybridMultilevel"/>
    <w:tmpl w:val="B3DC9E70"/>
    <w:lvl w:ilvl="0" w:tplc="6334249A">
      <w:numFmt w:val="bullet"/>
      <w:lvlText w:val="-"/>
      <w:lvlJc w:val="left"/>
      <w:pPr>
        <w:ind w:left="1069" w:hanging="360"/>
      </w:pPr>
      <w:rPr>
        <w:rFonts w:ascii="Palatino Linotype" w:eastAsia="Lucida Sans Unicode" w:hAnsi="Palatino Linotype" w:cs="Tahoma"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5">
    <w:nsid w:val="437B0F3D"/>
    <w:multiLevelType w:val="hybridMultilevel"/>
    <w:tmpl w:val="63122C8E"/>
    <w:lvl w:ilvl="0" w:tplc="D8386140">
      <w:start w:val="22"/>
      <w:numFmt w:val="decimal"/>
      <w:lvlText w:val="%1"/>
      <w:lvlJc w:val="left"/>
      <w:pPr>
        <w:ind w:left="2912" w:hanging="360"/>
      </w:pPr>
      <w:rPr>
        <w:rFonts w:hint="default"/>
      </w:rPr>
    </w:lvl>
    <w:lvl w:ilvl="1" w:tplc="0C0A0019" w:tentative="1">
      <w:start w:val="1"/>
      <w:numFmt w:val="lowerLetter"/>
      <w:lvlText w:val="%2."/>
      <w:lvlJc w:val="left"/>
      <w:pPr>
        <w:ind w:left="3632" w:hanging="360"/>
      </w:pPr>
    </w:lvl>
    <w:lvl w:ilvl="2" w:tplc="0C0A001B" w:tentative="1">
      <w:start w:val="1"/>
      <w:numFmt w:val="lowerRoman"/>
      <w:lvlText w:val="%3."/>
      <w:lvlJc w:val="right"/>
      <w:pPr>
        <w:ind w:left="4352" w:hanging="180"/>
      </w:pPr>
    </w:lvl>
    <w:lvl w:ilvl="3" w:tplc="0C0A000F" w:tentative="1">
      <w:start w:val="1"/>
      <w:numFmt w:val="decimal"/>
      <w:lvlText w:val="%4."/>
      <w:lvlJc w:val="left"/>
      <w:pPr>
        <w:ind w:left="5072" w:hanging="360"/>
      </w:pPr>
    </w:lvl>
    <w:lvl w:ilvl="4" w:tplc="0C0A0019" w:tentative="1">
      <w:start w:val="1"/>
      <w:numFmt w:val="lowerLetter"/>
      <w:lvlText w:val="%5."/>
      <w:lvlJc w:val="left"/>
      <w:pPr>
        <w:ind w:left="5792" w:hanging="360"/>
      </w:pPr>
    </w:lvl>
    <w:lvl w:ilvl="5" w:tplc="0C0A001B" w:tentative="1">
      <w:start w:val="1"/>
      <w:numFmt w:val="lowerRoman"/>
      <w:lvlText w:val="%6."/>
      <w:lvlJc w:val="right"/>
      <w:pPr>
        <w:ind w:left="6512" w:hanging="180"/>
      </w:pPr>
    </w:lvl>
    <w:lvl w:ilvl="6" w:tplc="0C0A000F" w:tentative="1">
      <w:start w:val="1"/>
      <w:numFmt w:val="decimal"/>
      <w:lvlText w:val="%7."/>
      <w:lvlJc w:val="left"/>
      <w:pPr>
        <w:ind w:left="7232" w:hanging="360"/>
      </w:pPr>
    </w:lvl>
    <w:lvl w:ilvl="7" w:tplc="0C0A0019" w:tentative="1">
      <w:start w:val="1"/>
      <w:numFmt w:val="lowerLetter"/>
      <w:lvlText w:val="%8."/>
      <w:lvlJc w:val="left"/>
      <w:pPr>
        <w:ind w:left="7952" w:hanging="360"/>
      </w:pPr>
    </w:lvl>
    <w:lvl w:ilvl="8" w:tplc="0C0A001B" w:tentative="1">
      <w:start w:val="1"/>
      <w:numFmt w:val="lowerRoman"/>
      <w:lvlText w:val="%9."/>
      <w:lvlJc w:val="right"/>
      <w:pPr>
        <w:ind w:left="8672" w:hanging="180"/>
      </w:pPr>
    </w:lvl>
  </w:abstractNum>
  <w:abstractNum w:abstractNumId="16">
    <w:nsid w:val="66AC29DA"/>
    <w:multiLevelType w:val="multilevel"/>
    <w:tmpl w:val="A2EE07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78454B8"/>
    <w:multiLevelType w:val="hybridMultilevel"/>
    <w:tmpl w:val="88B860C4"/>
    <w:lvl w:ilvl="0" w:tplc="A55E91EC">
      <w:start w:val="10"/>
      <w:numFmt w:val="bullet"/>
      <w:lvlText w:val="-"/>
      <w:lvlJc w:val="left"/>
      <w:pPr>
        <w:ind w:left="1069" w:hanging="360"/>
      </w:pPr>
      <w:rPr>
        <w:rFonts w:ascii="Palatino Linotype" w:eastAsia="Lucida Sans Unicode" w:hAnsi="Palatino Linotype" w:cs="Tahoma"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num w:numId="1">
    <w:abstractNumId w:val="10"/>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0"/>
  </w:num>
  <w:num w:numId="16">
    <w:abstractNumId w:val="10"/>
  </w:num>
  <w:num w:numId="17">
    <w:abstractNumId w:val="10"/>
  </w:num>
  <w:num w:numId="18">
    <w:abstractNumId w:val="10"/>
  </w:num>
  <w:num w:numId="19">
    <w:abstractNumId w:val="12"/>
  </w:num>
  <w:num w:numId="20">
    <w:abstractNumId w:val="14"/>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10"/>
  </w:num>
  <w:num w:numId="24">
    <w:abstractNumId w:val="15"/>
  </w:num>
  <w:num w:numId="25">
    <w:abstractNumId w:val="10"/>
  </w:num>
  <w:num w:numId="26">
    <w:abstractNumId w:val="11"/>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stylePaneFormatFilter w:val="000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51201">
      <o:colormenu v:ext="edit" strokecolor="none [2109]"/>
    </o:shapedefaults>
  </w:hdrShapeDefaults>
  <w:footnotePr>
    <w:footnote w:id="0"/>
    <w:footnote w:id="1"/>
  </w:footnotePr>
  <w:endnotePr>
    <w:endnote w:id="0"/>
    <w:endnote w:id="1"/>
  </w:endnotePr>
  <w:compat>
    <w:spaceForUL/>
    <w:balanceSingleByteDoubleByteWidth/>
    <w:doNotLeaveBackslashAlone/>
    <w:ulTrailSpace/>
    <w:adjustLineHeightInTable/>
  </w:compat>
  <w:rsids>
    <w:rsidRoot w:val="00027348"/>
    <w:rsid w:val="000000DC"/>
    <w:rsid w:val="00000BFF"/>
    <w:rsid w:val="00000D41"/>
    <w:rsid w:val="00000F52"/>
    <w:rsid w:val="00001AB2"/>
    <w:rsid w:val="00002887"/>
    <w:rsid w:val="000028D5"/>
    <w:rsid w:val="00002943"/>
    <w:rsid w:val="00002944"/>
    <w:rsid w:val="000031CF"/>
    <w:rsid w:val="0000455F"/>
    <w:rsid w:val="00004585"/>
    <w:rsid w:val="000053F3"/>
    <w:rsid w:val="00005469"/>
    <w:rsid w:val="00005BBA"/>
    <w:rsid w:val="00005D2C"/>
    <w:rsid w:val="00006221"/>
    <w:rsid w:val="000077B6"/>
    <w:rsid w:val="00007B04"/>
    <w:rsid w:val="000112AE"/>
    <w:rsid w:val="0001158B"/>
    <w:rsid w:val="00011E7C"/>
    <w:rsid w:val="000126FF"/>
    <w:rsid w:val="000127FE"/>
    <w:rsid w:val="00012915"/>
    <w:rsid w:val="00012960"/>
    <w:rsid w:val="00013185"/>
    <w:rsid w:val="00014661"/>
    <w:rsid w:val="000146AD"/>
    <w:rsid w:val="00014772"/>
    <w:rsid w:val="00014ED3"/>
    <w:rsid w:val="00015C01"/>
    <w:rsid w:val="00016591"/>
    <w:rsid w:val="00016E5C"/>
    <w:rsid w:val="000176B4"/>
    <w:rsid w:val="000178D1"/>
    <w:rsid w:val="000179F7"/>
    <w:rsid w:val="00017A14"/>
    <w:rsid w:val="00017BF6"/>
    <w:rsid w:val="00017D00"/>
    <w:rsid w:val="00020AE4"/>
    <w:rsid w:val="000211DF"/>
    <w:rsid w:val="00021E44"/>
    <w:rsid w:val="000225B3"/>
    <w:rsid w:val="00024575"/>
    <w:rsid w:val="00024596"/>
    <w:rsid w:val="000247B0"/>
    <w:rsid w:val="00024953"/>
    <w:rsid w:val="00024DB6"/>
    <w:rsid w:val="0002528E"/>
    <w:rsid w:val="0002576F"/>
    <w:rsid w:val="00025834"/>
    <w:rsid w:val="000259C2"/>
    <w:rsid w:val="00025C41"/>
    <w:rsid w:val="00025FF3"/>
    <w:rsid w:val="00026372"/>
    <w:rsid w:val="000264F6"/>
    <w:rsid w:val="00027348"/>
    <w:rsid w:val="00027FE4"/>
    <w:rsid w:val="000309DB"/>
    <w:rsid w:val="000310C4"/>
    <w:rsid w:val="00031413"/>
    <w:rsid w:val="00031850"/>
    <w:rsid w:val="00032574"/>
    <w:rsid w:val="0003293B"/>
    <w:rsid w:val="00032BD2"/>
    <w:rsid w:val="000331BC"/>
    <w:rsid w:val="00033DB2"/>
    <w:rsid w:val="00033F31"/>
    <w:rsid w:val="000340C1"/>
    <w:rsid w:val="000366BC"/>
    <w:rsid w:val="00036FAF"/>
    <w:rsid w:val="00040220"/>
    <w:rsid w:val="00040684"/>
    <w:rsid w:val="00040B45"/>
    <w:rsid w:val="00041A17"/>
    <w:rsid w:val="00043C47"/>
    <w:rsid w:val="00044B1E"/>
    <w:rsid w:val="00045DF8"/>
    <w:rsid w:val="00046A7A"/>
    <w:rsid w:val="00046E0A"/>
    <w:rsid w:val="00050240"/>
    <w:rsid w:val="0005056D"/>
    <w:rsid w:val="00050759"/>
    <w:rsid w:val="00050B82"/>
    <w:rsid w:val="0005124F"/>
    <w:rsid w:val="000517D5"/>
    <w:rsid w:val="0005228F"/>
    <w:rsid w:val="000522D9"/>
    <w:rsid w:val="000528FA"/>
    <w:rsid w:val="00052C77"/>
    <w:rsid w:val="00054AFF"/>
    <w:rsid w:val="00055C0D"/>
    <w:rsid w:val="00055E97"/>
    <w:rsid w:val="00056262"/>
    <w:rsid w:val="000562C8"/>
    <w:rsid w:val="00056397"/>
    <w:rsid w:val="00056768"/>
    <w:rsid w:val="00057C7C"/>
    <w:rsid w:val="00057D4D"/>
    <w:rsid w:val="000604A5"/>
    <w:rsid w:val="000604A9"/>
    <w:rsid w:val="000604D9"/>
    <w:rsid w:val="00060A81"/>
    <w:rsid w:val="00060F78"/>
    <w:rsid w:val="00060FAE"/>
    <w:rsid w:val="0006107C"/>
    <w:rsid w:val="0006131F"/>
    <w:rsid w:val="00061709"/>
    <w:rsid w:val="00062CE0"/>
    <w:rsid w:val="00062EDE"/>
    <w:rsid w:val="000631EE"/>
    <w:rsid w:val="0006351B"/>
    <w:rsid w:val="00063E5C"/>
    <w:rsid w:val="0006418B"/>
    <w:rsid w:val="000643F1"/>
    <w:rsid w:val="000646E6"/>
    <w:rsid w:val="00065578"/>
    <w:rsid w:val="00065D4B"/>
    <w:rsid w:val="0006660F"/>
    <w:rsid w:val="000669B5"/>
    <w:rsid w:val="00066EE6"/>
    <w:rsid w:val="000676C5"/>
    <w:rsid w:val="00067E5B"/>
    <w:rsid w:val="0007004C"/>
    <w:rsid w:val="00070A75"/>
    <w:rsid w:val="000712F4"/>
    <w:rsid w:val="0007173F"/>
    <w:rsid w:val="00071EDB"/>
    <w:rsid w:val="00072048"/>
    <w:rsid w:val="0007218B"/>
    <w:rsid w:val="00072A4E"/>
    <w:rsid w:val="00072F85"/>
    <w:rsid w:val="000736FA"/>
    <w:rsid w:val="00073775"/>
    <w:rsid w:val="00074891"/>
    <w:rsid w:val="00074900"/>
    <w:rsid w:val="00074925"/>
    <w:rsid w:val="00074A6A"/>
    <w:rsid w:val="00074DA0"/>
    <w:rsid w:val="00075504"/>
    <w:rsid w:val="000758CE"/>
    <w:rsid w:val="00075CAE"/>
    <w:rsid w:val="00075ECB"/>
    <w:rsid w:val="00076697"/>
    <w:rsid w:val="000770B5"/>
    <w:rsid w:val="00077263"/>
    <w:rsid w:val="00077F19"/>
    <w:rsid w:val="00077FFB"/>
    <w:rsid w:val="00080A0C"/>
    <w:rsid w:val="00081509"/>
    <w:rsid w:val="00081BC9"/>
    <w:rsid w:val="00081F8A"/>
    <w:rsid w:val="00082B20"/>
    <w:rsid w:val="00082CD0"/>
    <w:rsid w:val="00082D36"/>
    <w:rsid w:val="00083862"/>
    <w:rsid w:val="00083E39"/>
    <w:rsid w:val="00083F1F"/>
    <w:rsid w:val="000840D1"/>
    <w:rsid w:val="00084678"/>
    <w:rsid w:val="00084D26"/>
    <w:rsid w:val="00085F23"/>
    <w:rsid w:val="00085FB7"/>
    <w:rsid w:val="00086172"/>
    <w:rsid w:val="00086214"/>
    <w:rsid w:val="00086DDF"/>
    <w:rsid w:val="000878B1"/>
    <w:rsid w:val="00087E09"/>
    <w:rsid w:val="000900C5"/>
    <w:rsid w:val="00090716"/>
    <w:rsid w:val="00090DC1"/>
    <w:rsid w:val="00091194"/>
    <w:rsid w:val="0009149C"/>
    <w:rsid w:val="00091B15"/>
    <w:rsid w:val="00093645"/>
    <w:rsid w:val="00093CFC"/>
    <w:rsid w:val="00094489"/>
    <w:rsid w:val="00094961"/>
    <w:rsid w:val="00094CBA"/>
    <w:rsid w:val="0009595C"/>
    <w:rsid w:val="00096826"/>
    <w:rsid w:val="00097525"/>
    <w:rsid w:val="000977E5"/>
    <w:rsid w:val="00097904"/>
    <w:rsid w:val="00097D79"/>
    <w:rsid w:val="000A03A4"/>
    <w:rsid w:val="000A0503"/>
    <w:rsid w:val="000A0B69"/>
    <w:rsid w:val="000A151B"/>
    <w:rsid w:val="000A1C20"/>
    <w:rsid w:val="000A1F52"/>
    <w:rsid w:val="000A2AB6"/>
    <w:rsid w:val="000A2F0D"/>
    <w:rsid w:val="000A356B"/>
    <w:rsid w:val="000A3DAE"/>
    <w:rsid w:val="000A404D"/>
    <w:rsid w:val="000A5041"/>
    <w:rsid w:val="000A5064"/>
    <w:rsid w:val="000A51BF"/>
    <w:rsid w:val="000A5397"/>
    <w:rsid w:val="000A5D74"/>
    <w:rsid w:val="000A7933"/>
    <w:rsid w:val="000A7B72"/>
    <w:rsid w:val="000A7F8F"/>
    <w:rsid w:val="000B015D"/>
    <w:rsid w:val="000B02EB"/>
    <w:rsid w:val="000B04A3"/>
    <w:rsid w:val="000B1462"/>
    <w:rsid w:val="000B1718"/>
    <w:rsid w:val="000B2378"/>
    <w:rsid w:val="000B2A2A"/>
    <w:rsid w:val="000B3866"/>
    <w:rsid w:val="000B3BE3"/>
    <w:rsid w:val="000B3E33"/>
    <w:rsid w:val="000B4059"/>
    <w:rsid w:val="000B556B"/>
    <w:rsid w:val="000B6ADC"/>
    <w:rsid w:val="000B76AF"/>
    <w:rsid w:val="000C0023"/>
    <w:rsid w:val="000C0B0B"/>
    <w:rsid w:val="000C19EE"/>
    <w:rsid w:val="000C1B01"/>
    <w:rsid w:val="000C236F"/>
    <w:rsid w:val="000C401E"/>
    <w:rsid w:val="000C42F1"/>
    <w:rsid w:val="000C4414"/>
    <w:rsid w:val="000C44EE"/>
    <w:rsid w:val="000C4C07"/>
    <w:rsid w:val="000C4D5A"/>
    <w:rsid w:val="000C4DBB"/>
    <w:rsid w:val="000C54DD"/>
    <w:rsid w:val="000C6E80"/>
    <w:rsid w:val="000C70E3"/>
    <w:rsid w:val="000C7517"/>
    <w:rsid w:val="000D00A5"/>
    <w:rsid w:val="000D0F73"/>
    <w:rsid w:val="000D176B"/>
    <w:rsid w:val="000D1A37"/>
    <w:rsid w:val="000D321D"/>
    <w:rsid w:val="000D3A39"/>
    <w:rsid w:val="000D3EB2"/>
    <w:rsid w:val="000D4031"/>
    <w:rsid w:val="000D509D"/>
    <w:rsid w:val="000D55FD"/>
    <w:rsid w:val="000D5F98"/>
    <w:rsid w:val="000D6052"/>
    <w:rsid w:val="000D659C"/>
    <w:rsid w:val="000D6C04"/>
    <w:rsid w:val="000D6F60"/>
    <w:rsid w:val="000D7087"/>
    <w:rsid w:val="000D7633"/>
    <w:rsid w:val="000D76E8"/>
    <w:rsid w:val="000E0C65"/>
    <w:rsid w:val="000E0DB5"/>
    <w:rsid w:val="000E1727"/>
    <w:rsid w:val="000E1CA9"/>
    <w:rsid w:val="000E1D0F"/>
    <w:rsid w:val="000E22D8"/>
    <w:rsid w:val="000E31C4"/>
    <w:rsid w:val="000E31C6"/>
    <w:rsid w:val="000E35B9"/>
    <w:rsid w:val="000E38FB"/>
    <w:rsid w:val="000E3CF9"/>
    <w:rsid w:val="000E4116"/>
    <w:rsid w:val="000E5B40"/>
    <w:rsid w:val="000E5E81"/>
    <w:rsid w:val="000E5F37"/>
    <w:rsid w:val="000E66A7"/>
    <w:rsid w:val="000E7C3E"/>
    <w:rsid w:val="000F054A"/>
    <w:rsid w:val="000F0B9E"/>
    <w:rsid w:val="000F0D50"/>
    <w:rsid w:val="000F185A"/>
    <w:rsid w:val="000F21FF"/>
    <w:rsid w:val="000F2B74"/>
    <w:rsid w:val="000F3863"/>
    <w:rsid w:val="000F422B"/>
    <w:rsid w:val="000F4762"/>
    <w:rsid w:val="000F4C39"/>
    <w:rsid w:val="000F52CC"/>
    <w:rsid w:val="000F5734"/>
    <w:rsid w:val="000F59EA"/>
    <w:rsid w:val="000F6FC0"/>
    <w:rsid w:val="000F7158"/>
    <w:rsid w:val="000F7616"/>
    <w:rsid w:val="000F7D4D"/>
    <w:rsid w:val="00100240"/>
    <w:rsid w:val="00100E30"/>
    <w:rsid w:val="00100F22"/>
    <w:rsid w:val="00101DFE"/>
    <w:rsid w:val="001032A1"/>
    <w:rsid w:val="001039EF"/>
    <w:rsid w:val="001045FC"/>
    <w:rsid w:val="00105045"/>
    <w:rsid w:val="00105385"/>
    <w:rsid w:val="0010675A"/>
    <w:rsid w:val="00107432"/>
    <w:rsid w:val="00107795"/>
    <w:rsid w:val="00107A6F"/>
    <w:rsid w:val="00107BE4"/>
    <w:rsid w:val="00107C47"/>
    <w:rsid w:val="0011059D"/>
    <w:rsid w:val="00110828"/>
    <w:rsid w:val="001111FA"/>
    <w:rsid w:val="0011137E"/>
    <w:rsid w:val="00111906"/>
    <w:rsid w:val="00111B58"/>
    <w:rsid w:val="00111ED7"/>
    <w:rsid w:val="00112463"/>
    <w:rsid w:val="0011282A"/>
    <w:rsid w:val="00113052"/>
    <w:rsid w:val="0011335F"/>
    <w:rsid w:val="00113682"/>
    <w:rsid w:val="00114AE3"/>
    <w:rsid w:val="001153EF"/>
    <w:rsid w:val="0011561E"/>
    <w:rsid w:val="00115918"/>
    <w:rsid w:val="001159D2"/>
    <w:rsid w:val="00115BE6"/>
    <w:rsid w:val="00117AA7"/>
    <w:rsid w:val="00120FCD"/>
    <w:rsid w:val="00122410"/>
    <w:rsid w:val="00122C87"/>
    <w:rsid w:val="00122D31"/>
    <w:rsid w:val="00123261"/>
    <w:rsid w:val="00124010"/>
    <w:rsid w:val="00124D6E"/>
    <w:rsid w:val="00126330"/>
    <w:rsid w:val="0012694F"/>
    <w:rsid w:val="00126D13"/>
    <w:rsid w:val="00126FE3"/>
    <w:rsid w:val="00127607"/>
    <w:rsid w:val="001301DF"/>
    <w:rsid w:val="0013064E"/>
    <w:rsid w:val="001317E3"/>
    <w:rsid w:val="0013241B"/>
    <w:rsid w:val="001332CD"/>
    <w:rsid w:val="00135823"/>
    <w:rsid w:val="001358D2"/>
    <w:rsid w:val="00135C38"/>
    <w:rsid w:val="00136C71"/>
    <w:rsid w:val="00137CFA"/>
    <w:rsid w:val="001400E9"/>
    <w:rsid w:val="001408E3"/>
    <w:rsid w:val="00141407"/>
    <w:rsid w:val="001418AF"/>
    <w:rsid w:val="00141D2B"/>
    <w:rsid w:val="001420A8"/>
    <w:rsid w:val="00142D29"/>
    <w:rsid w:val="00143912"/>
    <w:rsid w:val="00145112"/>
    <w:rsid w:val="0014575A"/>
    <w:rsid w:val="00147EF4"/>
    <w:rsid w:val="00150FF2"/>
    <w:rsid w:val="0015165B"/>
    <w:rsid w:val="00151FB0"/>
    <w:rsid w:val="001527DB"/>
    <w:rsid w:val="001528CF"/>
    <w:rsid w:val="00152BF8"/>
    <w:rsid w:val="001530A7"/>
    <w:rsid w:val="00153986"/>
    <w:rsid w:val="001539BB"/>
    <w:rsid w:val="00153A26"/>
    <w:rsid w:val="00153E13"/>
    <w:rsid w:val="00153EF2"/>
    <w:rsid w:val="0015407B"/>
    <w:rsid w:val="001540A6"/>
    <w:rsid w:val="001540AD"/>
    <w:rsid w:val="001554AF"/>
    <w:rsid w:val="001559C5"/>
    <w:rsid w:val="00155FC7"/>
    <w:rsid w:val="00156B01"/>
    <w:rsid w:val="00156F77"/>
    <w:rsid w:val="00157428"/>
    <w:rsid w:val="001604C2"/>
    <w:rsid w:val="0016091D"/>
    <w:rsid w:val="00160F1A"/>
    <w:rsid w:val="001610CE"/>
    <w:rsid w:val="0016152B"/>
    <w:rsid w:val="001624F7"/>
    <w:rsid w:val="001625FD"/>
    <w:rsid w:val="001630AB"/>
    <w:rsid w:val="001632FF"/>
    <w:rsid w:val="00163978"/>
    <w:rsid w:val="00164847"/>
    <w:rsid w:val="00165420"/>
    <w:rsid w:val="00167005"/>
    <w:rsid w:val="0016784C"/>
    <w:rsid w:val="00167AA8"/>
    <w:rsid w:val="00170168"/>
    <w:rsid w:val="0017039F"/>
    <w:rsid w:val="0017163F"/>
    <w:rsid w:val="00171B27"/>
    <w:rsid w:val="001720AA"/>
    <w:rsid w:val="00173284"/>
    <w:rsid w:val="001759DA"/>
    <w:rsid w:val="00175C04"/>
    <w:rsid w:val="00175FAF"/>
    <w:rsid w:val="00176185"/>
    <w:rsid w:val="001766E1"/>
    <w:rsid w:val="0017729D"/>
    <w:rsid w:val="00177435"/>
    <w:rsid w:val="001778E5"/>
    <w:rsid w:val="001801F5"/>
    <w:rsid w:val="00180335"/>
    <w:rsid w:val="001805F3"/>
    <w:rsid w:val="0018071C"/>
    <w:rsid w:val="00180837"/>
    <w:rsid w:val="001814D3"/>
    <w:rsid w:val="00181687"/>
    <w:rsid w:val="0018177A"/>
    <w:rsid w:val="001819D4"/>
    <w:rsid w:val="00181A32"/>
    <w:rsid w:val="001820C6"/>
    <w:rsid w:val="00182FDA"/>
    <w:rsid w:val="001830D4"/>
    <w:rsid w:val="00184004"/>
    <w:rsid w:val="00184627"/>
    <w:rsid w:val="0018469D"/>
    <w:rsid w:val="001849D2"/>
    <w:rsid w:val="00185161"/>
    <w:rsid w:val="00186450"/>
    <w:rsid w:val="001865FA"/>
    <w:rsid w:val="001868F2"/>
    <w:rsid w:val="00187620"/>
    <w:rsid w:val="0018776C"/>
    <w:rsid w:val="00187F63"/>
    <w:rsid w:val="0019027E"/>
    <w:rsid w:val="001930E3"/>
    <w:rsid w:val="001948B8"/>
    <w:rsid w:val="00194F04"/>
    <w:rsid w:val="00195729"/>
    <w:rsid w:val="0019688F"/>
    <w:rsid w:val="001976F9"/>
    <w:rsid w:val="00197736"/>
    <w:rsid w:val="001A0492"/>
    <w:rsid w:val="001A0544"/>
    <w:rsid w:val="001A122D"/>
    <w:rsid w:val="001A21C9"/>
    <w:rsid w:val="001A22B3"/>
    <w:rsid w:val="001A3D46"/>
    <w:rsid w:val="001A4492"/>
    <w:rsid w:val="001A4872"/>
    <w:rsid w:val="001A661C"/>
    <w:rsid w:val="001A6910"/>
    <w:rsid w:val="001A6D2E"/>
    <w:rsid w:val="001A7AF3"/>
    <w:rsid w:val="001B0F08"/>
    <w:rsid w:val="001B13DE"/>
    <w:rsid w:val="001B27F9"/>
    <w:rsid w:val="001B2F15"/>
    <w:rsid w:val="001B4135"/>
    <w:rsid w:val="001B4331"/>
    <w:rsid w:val="001B4B36"/>
    <w:rsid w:val="001B5575"/>
    <w:rsid w:val="001B59B2"/>
    <w:rsid w:val="001B5AE0"/>
    <w:rsid w:val="001B5B4E"/>
    <w:rsid w:val="001B5CE9"/>
    <w:rsid w:val="001B6504"/>
    <w:rsid w:val="001B6CA5"/>
    <w:rsid w:val="001B75BD"/>
    <w:rsid w:val="001C04B0"/>
    <w:rsid w:val="001C0B69"/>
    <w:rsid w:val="001C0BC6"/>
    <w:rsid w:val="001C1538"/>
    <w:rsid w:val="001C1CF8"/>
    <w:rsid w:val="001C1E08"/>
    <w:rsid w:val="001C22B9"/>
    <w:rsid w:val="001C27DE"/>
    <w:rsid w:val="001C2834"/>
    <w:rsid w:val="001C2E82"/>
    <w:rsid w:val="001C30C0"/>
    <w:rsid w:val="001C38EE"/>
    <w:rsid w:val="001C3FF6"/>
    <w:rsid w:val="001C42D8"/>
    <w:rsid w:val="001C4B16"/>
    <w:rsid w:val="001C5069"/>
    <w:rsid w:val="001C5624"/>
    <w:rsid w:val="001C5D5D"/>
    <w:rsid w:val="001C67AB"/>
    <w:rsid w:val="001C6B16"/>
    <w:rsid w:val="001C6D7E"/>
    <w:rsid w:val="001C7067"/>
    <w:rsid w:val="001C7393"/>
    <w:rsid w:val="001C74A2"/>
    <w:rsid w:val="001C7E5B"/>
    <w:rsid w:val="001D02DA"/>
    <w:rsid w:val="001D0CB2"/>
    <w:rsid w:val="001D0EF1"/>
    <w:rsid w:val="001D10D2"/>
    <w:rsid w:val="001D4027"/>
    <w:rsid w:val="001D4432"/>
    <w:rsid w:val="001D4583"/>
    <w:rsid w:val="001D512E"/>
    <w:rsid w:val="001D6E1D"/>
    <w:rsid w:val="001D715C"/>
    <w:rsid w:val="001D7369"/>
    <w:rsid w:val="001D7ABD"/>
    <w:rsid w:val="001D7E58"/>
    <w:rsid w:val="001E0437"/>
    <w:rsid w:val="001E0753"/>
    <w:rsid w:val="001E0E0B"/>
    <w:rsid w:val="001E14AD"/>
    <w:rsid w:val="001E1C96"/>
    <w:rsid w:val="001E27F8"/>
    <w:rsid w:val="001E3447"/>
    <w:rsid w:val="001E3D8C"/>
    <w:rsid w:val="001E3E5C"/>
    <w:rsid w:val="001E4CEA"/>
    <w:rsid w:val="001E4F22"/>
    <w:rsid w:val="001E5CFF"/>
    <w:rsid w:val="001E5D02"/>
    <w:rsid w:val="001E681D"/>
    <w:rsid w:val="001E75C7"/>
    <w:rsid w:val="001E7A6E"/>
    <w:rsid w:val="001E7EAA"/>
    <w:rsid w:val="001F0988"/>
    <w:rsid w:val="001F0AC6"/>
    <w:rsid w:val="001F0EC6"/>
    <w:rsid w:val="001F1130"/>
    <w:rsid w:val="001F1C6B"/>
    <w:rsid w:val="001F3EDC"/>
    <w:rsid w:val="001F4040"/>
    <w:rsid w:val="001F40E5"/>
    <w:rsid w:val="001F4687"/>
    <w:rsid w:val="001F483C"/>
    <w:rsid w:val="001F5155"/>
    <w:rsid w:val="001F5989"/>
    <w:rsid w:val="001F59A7"/>
    <w:rsid w:val="001F5B3C"/>
    <w:rsid w:val="001F5C9B"/>
    <w:rsid w:val="001F65B3"/>
    <w:rsid w:val="001F6FBA"/>
    <w:rsid w:val="001F712C"/>
    <w:rsid w:val="001F7427"/>
    <w:rsid w:val="0020014D"/>
    <w:rsid w:val="00200325"/>
    <w:rsid w:val="00200994"/>
    <w:rsid w:val="0020161E"/>
    <w:rsid w:val="0020196E"/>
    <w:rsid w:val="002019B8"/>
    <w:rsid w:val="00202CC1"/>
    <w:rsid w:val="00203AD5"/>
    <w:rsid w:val="00204176"/>
    <w:rsid w:val="002044D0"/>
    <w:rsid w:val="00204901"/>
    <w:rsid w:val="00204A48"/>
    <w:rsid w:val="002055C7"/>
    <w:rsid w:val="00205CA2"/>
    <w:rsid w:val="00205FEB"/>
    <w:rsid w:val="0020615F"/>
    <w:rsid w:val="00206536"/>
    <w:rsid w:val="00206DE0"/>
    <w:rsid w:val="00206E8D"/>
    <w:rsid w:val="0020707A"/>
    <w:rsid w:val="0020796D"/>
    <w:rsid w:val="00207CA3"/>
    <w:rsid w:val="0021124D"/>
    <w:rsid w:val="00211563"/>
    <w:rsid w:val="00211693"/>
    <w:rsid w:val="002126D1"/>
    <w:rsid w:val="00212A46"/>
    <w:rsid w:val="00213C5A"/>
    <w:rsid w:val="002140A4"/>
    <w:rsid w:val="0021418D"/>
    <w:rsid w:val="00214852"/>
    <w:rsid w:val="002148BA"/>
    <w:rsid w:val="00216556"/>
    <w:rsid w:val="00216642"/>
    <w:rsid w:val="002171F5"/>
    <w:rsid w:val="00221690"/>
    <w:rsid w:val="00221FAE"/>
    <w:rsid w:val="002226A2"/>
    <w:rsid w:val="00222721"/>
    <w:rsid w:val="00224C1F"/>
    <w:rsid w:val="00225241"/>
    <w:rsid w:val="002252AC"/>
    <w:rsid w:val="002255FD"/>
    <w:rsid w:val="00225FF4"/>
    <w:rsid w:val="00226325"/>
    <w:rsid w:val="00226C6A"/>
    <w:rsid w:val="00226D9B"/>
    <w:rsid w:val="00227A9C"/>
    <w:rsid w:val="00230A5D"/>
    <w:rsid w:val="00230B03"/>
    <w:rsid w:val="00230CFD"/>
    <w:rsid w:val="00230D3C"/>
    <w:rsid w:val="00231527"/>
    <w:rsid w:val="002315C1"/>
    <w:rsid w:val="00231651"/>
    <w:rsid w:val="0023167D"/>
    <w:rsid w:val="00231FAF"/>
    <w:rsid w:val="00232154"/>
    <w:rsid w:val="002326C3"/>
    <w:rsid w:val="002328C7"/>
    <w:rsid w:val="00233968"/>
    <w:rsid w:val="002339E3"/>
    <w:rsid w:val="00233BFD"/>
    <w:rsid w:val="00234388"/>
    <w:rsid w:val="00234665"/>
    <w:rsid w:val="00234978"/>
    <w:rsid w:val="002355AB"/>
    <w:rsid w:val="00235AE3"/>
    <w:rsid w:val="00235EB7"/>
    <w:rsid w:val="00235F7C"/>
    <w:rsid w:val="00236571"/>
    <w:rsid w:val="002368C6"/>
    <w:rsid w:val="00236971"/>
    <w:rsid w:val="00236D67"/>
    <w:rsid w:val="00237838"/>
    <w:rsid w:val="002379B1"/>
    <w:rsid w:val="00237D50"/>
    <w:rsid w:val="00240560"/>
    <w:rsid w:val="0024081F"/>
    <w:rsid w:val="00240925"/>
    <w:rsid w:val="002409BF"/>
    <w:rsid w:val="00242036"/>
    <w:rsid w:val="002426BC"/>
    <w:rsid w:val="00242DDF"/>
    <w:rsid w:val="00243C0F"/>
    <w:rsid w:val="00243E56"/>
    <w:rsid w:val="00243F11"/>
    <w:rsid w:val="00244A77"/>
    <w:rsid w:val="00244F6D"/>
    <w:rsid w:val="002453BF"/>
    <w:rsid w:val="00246A49"/>
    <w:rsid w:val="00246FBE"/>
    <w:rsid w:val="00247E24"/>
    <w:rsid w:val="00250B24"/>
    <w:rsid w:val="0025104C"/>
    <w:rsid w:val="00251C80"/>
    <w:rsid w:val="00251E04"/>
    <w:rsid w:val="00251EFD"/>
    <w:rsid w:val="002520CC"/>
    <w:rsid w:val="002524F1"/>
    <w:rsid w:val="002538EE"/>
    <w:rsid w:val="00254E67"/>
    <w:rsid w:val="00254F07"/>
    <w:rsid w:val="00255BCD"/>
    <w:rsid w:val="0025649F"/>
    <w:rsid w:val="00256E15"/>
    <w:rsid w:val="0025726E"/>
    <w:rsid w:val="00257A2A"/>
    <w:rsid w:val="00257AC7"/>
    <w:rsid w:val="00257D69"/>
    <w:rsid w:val="00260C29"/>
    <w:rsid w:val="002611E0"/>
    <w:rsid w:val="00261D78"/>
    <w:rsid w:val="002621B4"/>
    <w:rsid w:val="002623EB"/>
    <w:rsid w:val="00262E81"/>
    <w:rsid w:val="0026311C"/>
    <w:rsid w:val="0026312B"/>
    <w:rsid w:val="00263634"/>
    <w:rsid w:val="00263EBE"/>
    <w:rsid w:val="00263F23"/>
    <w:rsid w:val="002644D8"/>
    <w:rsid w:val="00264752"/>
    <w:rsid w:val="00264C47"/>
    <w:rsid w:val="00264E09"/>
    <w:rsid w:val="002660DC"/>
    <w:rsid w:val="002667B2"/>
    <w:rsid w:val="002669F5"/>
    <w:rsid w:val="00267141"/>
    <w:rsid w:val="002701A8"/>
    <w:rsid w:val="00270EBB"/>
    <w:rsid w:val="002716D6"/>
    <w:rsid w:val="002732E7"/>
    <w:rsid w:val="00273DD0"/>
    <w:rsid w:val="00274749"/>
    <w:rsid w:val="00274766"/>
    <w:rsid w:val="002756AE"/>
    <w:rsid w:val="0027583F"/>
    <w:rsid w:val="00275D81"/>
    <w:rsid w:val="00277EE8"/>
    <w:rsid w:val="002805B7"/>
    <w:rsid w:val="00282B31"/>
    <w:rsid w:val="00283A20"/>
    <w:rsid w:val="0028430F"/>
    <w:rsid w:val="00284A46"/>
    <w:rsid w:val="00284DC0"/>
    <w:rsid w:val="00284EB9"/>
    <w:rsid w:val="00284FE8"/>
    <w:rsid w:val="0028557B"/>
    <w:rsid w:val="002855B5"/>
    <w:rsid w:val="0028604A"/>
    <w:rsid w:val="00286E97"/>
    <w:rsid w:val="002871B1"/>
    <w:rsid w:val="0028720C"/>
    <w:rsid w:val="0028737F"/>
    <w:rsid w:val="002876D4"/>
    <w:rsid w:val="0029053C"/>
    <w:rsid w:val="00290D00"/>
    <w:rsid w:val="002921EC"/>
    <w:rsid w:val="0029222E"/>
    <w:rsid w:val="00292BA9"/>
    <w:rsid w:val="00293461"/>
    <w:rsid w:val="002935DF"/>
    <w:rsid w:val="0029383A"/>
    <w:rsid w:val="00293B70"/>
    <w:rsid w:val="00293DFF"/>
    <w:rsid w:val="0029449C"/>
    <w:rsid w:val="00294755"/>
    <w:rsid w:val="00294BAF"/>
    <w:rsid w:val="002957DF"/>
    <w:rsid w:val="002964D8"/>
    <w:rsid w:val="00296C23"/>
    <w:rsid w:val="002A06B9"/>
    <w:rsid w:val="002A1015"/>
    <w:rsid w:val="002A1210"/>
    <w:rsid w:val="002A2680"/>
    <w:rsid w:val="002A2B54"/>
    <w:rsid w:val="002A361F"/>
    <w:rsid w:val="002A54C0"/>
    <w:rsid w:val="002A58E8"/>
    <w:rsid w:val="002A5999"/>
    <w:rsid w:val="002A5B58"/>
    <w:rsid w:val="002A5DA3"/>
    <w:rsid w:val="002A6E27"/>
    <w:rsid w:val="002A6F02"/>
    <w:rsid w:val="002A7C6D"/>
    <w:rsid w:val="002B04BC"/>
    <w:rsid w:val="002B0671"/>
    <w:rsid w:val="002B06F3"/>
    <w:rsid w:val="002B0856"/>
    <w:rsid w:val="002B0A61"/>
    <w:rsid w:val="002B1298"/>
    <w:rsid w:val="002B1319"/>
    <w:rsid w:val="002B1D5A"/>
    <w:rsid w:val="002B2BC6"/>
    <w:rsid w:val="002B2DE5"/>
    <w:rsid w:val="002B3F0A"/>
    <w:rsid w:val="002B4516"/>
    <w:rsid w:val="002B516B"/>
    <w:rsid w:val="002B5E9E"/>
    <w:rsid w:val="002B617A"/>
    <w:rsid w:val="002B6845"/>
    <w:rsid w:val="002B6A4A"/>
    <w:rsid w:val="002B740C"/>
    <w:rsid w:val="002B744A"/>
    <w:rsid w:val="002B7AFB"/>
    <w:rsid w:val="002B7F02"/>
    <w:rsid w:val="002C04C1"/>
    <w:rsid w:val="002C0665"/>
    <w:rsid w:val="002C0A25"/>
    <w:rsid w:val="002C0C01"/>
    <w:rsid w:val="002C0C59"/>
    <w:rsid w:val="002C18BF"/>
    <w:rsid w:val="002C190A"/>
    <w:rsid w:val="002C1B02"/>
    <w:rsid w:val="002C3072"/>
    <w:rsid w:val="002C3A6A"/>
    <w:rsid w:val="002C5512"/>
    <w:rsid w:val="002C56DD"/>
    <w:rsid w:val="002C6766"/>
    <w:rsid w:val="002C6813"/>
    <w:rsid w:val="002C6CF8"/>
    <w:rsid w:val="002C7F64"/>
    <w:rsid w:val="002D1EAC"/>
    <w:rsid w:val="002D202E"/>
    <w:rsid w:val="002D2441"/>
    <w:rsid w:val="002D2462"/>
    <w:rsid w:val="002D2DCD"/>
    <w:rsid w:val="002D4756"/>
    <w:rsid w:val="002D49B8"/>
    <w:rsid w:val="002D561F"/>
    <w:rsid w:val="002D5A94"/>
    <w:rsid w:val="002D5B4E"/>
    <w:rsid w:val="002D5E49"/>
    <w:rsid w:val="002D6063"/>
    <w:rsid w:val="002D76BD"/>
    <w:rsid w:val="002D7D06"/>
    <w:rsid w:val="002E1756"/>
    <w:rsid w:val="002E1CA5"/>
    <w:rsid w:val="002E2546"/>
    <w:rsid w:val="002E2E17"/>
    <w:rsid w:val="002E320A"/>
    <w:rsid w:val="002E5014"/>
    <w:rsid w:val="002E5062"/>
    <w:rsid w:val="002E5479"/>
    <w:rsid w:val="002E5C10"/>
    <w:rsid w:val="002E64AB"/>
    <w:rsid w:val="002E64F3"/>
    <w:rsid w:val="002E6557"/>
    <w:rsid w:val="002E6775"/>
    <w:rsid w:val="002E6C29"/>
    <w:rsid w:val="002E7054"/>
    <w:rsid w:val="002E7727"/>
    <w:rsid w:val="002F10F2"/>
    <w:rsid w:val="002F1557"/>
    <w:rsid w:val="002F18C8"/>
    <w:rsid w:val="002F2E56"/>
    <w:rsid w:val="002F33D9"/>
    <w:rsid w:val="002F368D"/>
    <w:rsid w:val="002F3E2C"/>
    <w:rsid w:val="002F43E6"/>
    <w:rsid w:val="002F4CBD"/>
    <w:rsid w:val="002F521E"/>
    <w:rsid w:val="002F545A"/>
    <w:rsid w:val="002F54DF"/>
    <w:rsid w:val="002F54EE"/>
    <w:rsid w:val="002F55B1"/>
    <w:rsid w:val="002F5669"/>
    <w:rsid w:val="002F59C1"/>
    <w:rsid w:val="002F5C12"/>
    <w:rsid w:val="002F621E"/>
    <w:rsid w:val="002F6435"/>
    <w:rsid w:val="002F6448"/>
    <w:rsid w:val="002F6AF0"/>
    <w:rsid w:val="002F6B20"/>
    <w:rsid w:val="002F72B4"/>
    <w:rsid w:val="002F7A2F"/>
    <w:rsid w:val="002F7CC7"/>
    <w:rsid w:val="00300651"/>
    <w:rsid w:val="00300825"/>
    <w:rsid w:val="003008B7"/>
    <w:rsid w:val="0030096A"/>
    <w:rsid w:val="00300E0C"/>
    <w:rsid w:val="003011A0"/>
    <w:rsid w:val="003023E2"/>
    <w:rsid w:val="00302420"/>
    <w:rsid w:val="0030293E"/>
    <w:rsid w:val="003030DD"/>
    <w:rsid w:val="00303729"/>
    <w:rsid w:val="00303A92"/>
    <w:rsid w:val="0030425C"/>
    <w:rsid w:val="0030431B"/>
    <w:rsid w:val="003045A6"/>
    <w:rsid w:val="0030497A"/>
    <w:rsid w:val="00304B2E"/>
    <w:rsid w:val="00305033"/>
    <w:rsid w:val="0030552C"/>
    <w:rsid w:val="00305A57"/>
    <w:rsid w:val="003063C2"/>
    <w:rsid w:val="00306696"/>
    <w:rsid w:val="00306910"/>
    <w:rsid w:val="00306BAA"/>
    <w:rsid w:val="00306FB0"/>
    <w:rsid w:val="003070F2"/>
    <w:rsid w:val="00307510"/>
    <w:rsid w:val="00307EC0"/>
    <w:rsid w:val="003101AD"/>
    <w:rsid w:val="00310520"/>
    <w:rsid w:val="00310FED"/>
    <w:rsid w:val="003116F4"/>
    <w:rsid w:val="00311B22"/>
    <w:rsid w:val="00312904"/>
    <w:rsid w:val="00313891"/>
    <w:rsid w:val="00314397"/>
    <w:rsid w:val="00314608"/>
    <w:rsid w:val="00315442"/>
    <w:rsid w:val="00315DBE"/>
    <w:rsid w:val="003178D6"/>
    <w:rsid w:val="00317ECE"/>
    <w:rsid w:val="00321FD4"/>
    <w:rsid w:val="003234AD"/>
    <w:rsid w:val="00323609"/>
    <w:rsid w:val="00323FA1"/>
    <w:rsid w:val="003242EF"/>
    <w:rsid w:val="0032444C"/>
    <w:rsid w:val="0032458D"/>
    <w:rsid w:val="00324D9B"/>
    <w:rsid w:val="00325047"/>
    <w:rsid w:val="0032518C"/>
    <w:rsid w:val="003253D1"/>
    <w:rsid w:val="003259BF"/>
    <w:rsid w:val="00326350"/>
    <w:rsid w:val="003266DE"/>
    <w:rsid w:val="0032678E"/>
    <w:rsid w:val="003269DB"/>
    <w:rsid w:val="00330463"/>
    <w:rsid w:val="003305E9"/>
    <w:rsid w:val="00330728"/>
    <w:rsid w:val="003308A5"/>
    <w:rsid w:val="00330B93"/>
    <w:rsid w:val="003323B2"/>
    <w:rsid w:val="00332933"/>
    <w:rsid w:val="00334224"/>
    <w:rsid w:val="00334394"/>
    <w:rsid w:val="00334415"/>
    <w:rsid w:val="003344E5"/>
    <w:rsid w:val="00334687"/>
    <w:rsid w:val="00334EE4"/>
    <w:rsid w:val="00334F40"/>
    <w:rsid w:val="00335335"/>
    <w:rsid w:val="00335659"/>
    <w:rsid w:val="00335781"/>
    <w:rsid w:val="00335C66"/>
    <w:rsid w:val="00335F0B"/>
    <w:rsid w:val="00336791"/>
    <w:rsid w:val="00336C66"/>
    <w:rsid w:val="00336D9B"/>
    <w:rsid w:val="003370F1"/>
    <w:rsid w:val="00337CCA"/>
    <w:rsid w:val="00337DDC"/>
    <w:rsid w:val="0034165E"/>
    <w:rsid w:val="00341773"/>
    <w:rsid w:val="0034189F"/>
    <w:rsid w:val="00341C08"/>
    <w:rsid w:val="00341F1A"/>
    <w:rsid w:val="00341FDB"/>
    <w:rsid w:val="00342265"/>
    <w:rsid w:val="00343DA9"/>
    <w:rsid w:val="003444A2"/>
    <w:rsid w:val="0034562B"/>
    <w:rsid w:val="0034678B"/>
    <w:rsid w:val="00346F9F"/>
    <w:rsid w:val="00347DF7"/>
    <w:rsid w:val="00347E0D"/>
    <w:rsid w:val="00347E55"/>
    <w:rsid w:val="00347EBE"/>
    <w:rsid w:val="00350772"/>
    <w:rsid w:val="00350DB3"/>
    <w:rsid w:val="00350E36"/>
    <w:rsid w:val="00351AE8"/>
    <w:rsid w:val="00352692"/>
    <w:rsid w:val="00352A7E"/>
    <w:rsid w:val="003530DF"/>
    <w:rsid w:val="00353C80"/>
    <w:rsid w:val="00354E98"/>
    <w:rsid w:val="00355053"/>
    <w:rsid w:val="0035578E"/>
    <w:rsid w:val="00356096"/>
    <w:rsid w:val="003560F7"/>
    <w:rsid w:val="003563BC"/>
    <w:rsid w:val="00356695"/>
    <w:rsid w:val="00356C50"/>
    <w:rsid w:val="00356C75"/>
    <w:rsid w:val="00356FB4"/>
    <w:rsid w:val="00357E26"/>
    <w:rsid w:val="00360BC5"/>
    <w:rsid w:val="003610E0"/>
    <w:rsid w:val="00361512"/>
    <w:rsid w:val="00361A7F"/>
    <w:rsid w:val="0036258F"/>
    <w:rsid w:val="003629C6"/>
    <w:rsid w:val="00362EB8"/>
    <w:rsid w:val="0036313C"/>
    <w:rsid w:val="00363B72"/>
    <w:rsid w:val="00363E61"/>
    <w:rsid w:val="00363EBE"/>
    <w:rsid w:val="00363F7C"/>
    <w:rsid w:val="003644E9"/>
    <w:rsid w:val="00365115"/>
    <w:rsid w:val="00365622"/>
    <w:rsid w:val="0036580D"/>
    <w:rsid w:val="0036588E"/>
    <w:rsid w:val="00365C38"/>
    <w:rsid w:val="0036683B"/>
    <w:rsid w:val="00366892"/>
    <w:rsid w:val="00366957"/>
    <w:rsid w:val="00366DE6"/>
    <w:rsid w:val="003673FE"/>
    <w:rsid w:val="00367D27"/>
    <w:rsid w:val="00367FCD"/>
    <w:rsid w:val="003714EF"/>
    <w:rsid w:val="0037192C"/>
    <w:rsid w:val="00371BA5"/>
    <w:rsid w:val="003726E0"/>
    <w:rsid w:val="00373464"/>
    <w:rsid w:val="00373F43"/>
    <w:rsid w:val="00374419"/>
    <w:rsid w:val="00374D6D"/>
    <w:rsid w:val="00374F54"/>
    <w:rsid w:val="0037506B"/>
    <w:rsid w:val="003757F2"/>
    <w:rsid w:val="00376D70"/>
    <w:rsid w:val="00376F0A"/>
    <w:rsid w:val="00377213"/>
    <w:rsid w:val="00380148"/>
    <w:rsid w:val="00381F2C"/>
    <w:rsid w:val="0038223C"/>
    <w:rsid w:val="00382312"/>
    <w:rsid w:val="00382E9D"/>
    <w:rsid w:val="00383CC4"/>
    <w:rsid w:val="00383E49"/>
    <w:rsid w:val="00383EEE"/>
    <w:rsid w:val="0038450C"/>
    <w:rsid w:val="00385ACB"/>
    <w:rsid w:val="00385C26"/>
    <w:rsid w:val="0038649B"/>
    <w:rsid w:val="003866A0"/>
    <w:rsid w:val="003909F5"/>
    <w:rsid w:val="00390E06"/>
    <w:rsid w:val="003913C5"/>
    <w:rsid w:val="003930E8"/>
    <w:rsid w:val="0039387E"/>
    <w:rsid w:val="00393B24"/>
    <w:rsid w:val="00393CE2"/>
    <w:rsid w:val="00394562"/>
    <w:rsid w:val="003945A2"/>
    <w:rsid w:val="00395B85"/>
    <w:rsid w:val="0039613D"/>
    <w:rsid w:val="003962F3"/>
    <w:rsid w:val="00396EF2"/>
    <w:rsid w:val="003971E2"/>
    <w:rsid w:val="0039766F"/>
    <w:rsid w:val="0039776F"/>
    <w:rsid w:val="0039783A"/>
    <w:rsid w:val="00397A12"/>
    <w:rsid w:val="003A06AC"/>
    <w:rsid w:val="003A0797"/>
    <w:rsid w:val="003A19E3"/>
    <w:rsid w:val="003A23DF"/>
    <w:rsid w:val="003A288B"/>
    <w:rsid w:val="003A29F4"/>
    <w:rsid w:val="003A30AA"/>
    <w:rsid w:val="003A360F"/>
    <w:rsid w:val="003A3F40"/>
    <w:rsid w:val="003A45D7"/>
    <w:rsid w:val="003A485D"/>
    <w:rsid w:val="003A4CA0"/>
    <w:rsid w:val="003A4F7D"/>
    <w:rsid w:val="003A5015"/>
    <w:rsid w:val="003A53DA"/>
    <w:rsid w:val="003A5F16"/>
    <w:rsid w:val="003A67B2"/>
    <w:rsid w:val="003A67F2"/>
    <w:rsid w:val="003A6FF9"/>
    <w:rsid w:val="003A7F07"/>
    <w:rsid w:val="003B0E40"/>
    <w:rsid w:val="003B0EDA"/>
    <w:rsid w:val="003B1272"/>
    <w:rsid w:val="003B43CE"/>
    <w:rsid w:val="003B43E8"/>
    <w:rsid w:val="003B4731"/>
    <w:rsid w:val="003B4A42"/>
    <w:rsid w:val="003B4ACB"/>
    <w:rsid w:val="003B4D40"/>
    <w:rsid w:val="003B5581"/>
    <w:rsid w:val="003B577C"/>
    <w:rsid w:val="003B664D"/>
    <w:rsid w:val="003B6D7F"/>
    <w:rsid w:val="003B752F"/>
    <w:rsid w:val="003B7636"/>
    <w:rsid w:val="003C0C83"/>
    <w:rsid w:val="003C13DE"/>
    <w:rsid w:val="003C1447"/>
    <w:rsid w:val="003C250F"/>
    <w:rsid w:val="003C347A"/>
    <w:rsid w:val="003C3B02"/>
    <w:rsid w:val="003C3C49"/>
    <w:rsid w:val="003C49CC"/>
    <w:rsid w:val="003C5C3D"/>
    <w:rsid w:val="003C5DD8"/>
    <w:rsid w:val="003C68CB"/>
    <w:rsid w:val="003C78E0"/>
    <w:rsid w:val="003D02CE"/>
    <w:rsid w:val="003D0D57"/>
    <w:rsid w:val="003D1C31"/>
    <w:rsid w:val="003D2008"/>
    <w:rsid w:val="003D2866"/>
    <w:rsid w:val="003D2D7C"/>
    <w:rsid w:val="003D2F67"/>
    <w:rsid w:val="003D39F6"/>
    <w:rsid w:val="003D4553"/>
    <w:rsid w:val="003D460A"/>
    <w:rsid w:val="003D5086"/>
    <w:rsid w:val="003D5871"/>
    <w:rsid w:val="003D5AD9"/>
    <w:rsid w:val="003D69DA"/>
    <w:rsid w:val="003D6E99"/>
    <w:rsid w:val="003D6F25"/>
    <w:rsid w:val="003D79D4"/>
    <w:rsid w:val="003E008D"/>
    <w:rsid w:val="003E050A"/>
    <w:rsid w:val="003E1287"/>
    <w:rsid w:val="003E1345"/>
    <w:rsid w:val="003E1D6A"/>
    <w:rsid w:val="003E1E6A"/>
    <w:rsid w:val="003E1F08"/>
    <w:rsid w:val="003E1F6B"/>
    <w:rsid w:val="003E4DA2"/>
    <w:rsid w:val="003E5454"/>
    <w:rsid w:val="003E5F01"/>
    <w:rsid w:val="003E6426"/>
    <w:rsid w:val="003E650A"/>
    <w:rsid w:val="003E66A5"/>
    <w:rsid w:val="003E6733"/>
    <w:rsid w:val="003E6DA4"/>
    <w:rsid w:val="003E72AE"/>
    <w:rsid w:val="003E7427"/>
    <w:rsid w:val="003E7682"/>
    <w:rsid w:val="003E7E91"/>
    <w:rsid w:val="003F003D"/>
    <w:rsid w:val="003F0497"/>
    <w:rsid w:val="003F07C0"/>
    <w:rsid w:val="003F0BCD"/>
    <w:rsid w:val="003F1332"/>
    <w:rsid w:val="003F1FA7"/>
    <w:rsid w:val="003F1FA9"/>
    <w:rsid w:val="003F23AA"/>
    <w:rsid w:val="003F33EA"/>
    <w:rsid w:val="003F36CB"/>
    <w:rsid w:val="003F4ED3"/>
    <w:rsid w:val="003F53DB"/>
    <w:rsid w:val="003F57DC"/>
    <w:rsid w:val="003F641C"/>
    <w:rsid w:val="003F6929"/>
    <w:rsid w:val="003F6999"/>
    <w:rsid w:val="003F6DCB"/>
    <w:rsid w:val="003F7368"/>
    <w:rsid w:val="003F737A"/>
    <w:rsid w:val="003F73A1"/>
    <w:rsid w:val="003F75EC"/>
    <w:rsid w:val="00400054"/>
    <w:rsid w:val="00400219"/>
    <w:rsid w:val="00401499"/>
    <w:rsid w:val="0040186C"/>
    <w:rsid w:val="00401922"/>
    <w:rsid w:val="00402A35"/>
    <w:rsid w:val="00402E33"/>
    <w:rsid w:val="00403CE5"/>
    <w:rsid w:val="004040A9"/>
    <w:rsid w:val="0040445E"/>
    <w:rsid w:val="004049B2"/>
    <w:rsid w:val="00405224"/>
    <w:rsid w:val="004060F3"/>
    <w:rsid w:val="004061FA"/>
    <w:rsid w:val="004066F1"/>
    <w:rsid w:val="004069C6"/>
    <w:rsid w:val="004074B7"/>
    <w:rsid w:val="00407955"/>
    <w:rsid w:val="00407F92"/>
    <w:rsid w:val="00410B4C"/>
    <w:rsid w:val="004117E1"/>
    <w:rsid w:val="00411A96"/>
    <w:rsid w:val="004126F4"/>
    <w:rsid w:val="004128FA"/>
    <w:rsid w:val="0041399E"/>
    <w:rsid w:val="00414078"/>
    <w:rsid w:val="004142F2"/>
    <w:rsid w:val="0041525B"/>
    <w:rsid w:val="00415C8E"/>
    <w:rsid w:val="0041622D"/>
    <w:rsid w:val="004162AC"/>
    <w:rsid w:val="00416A3D"/>
    <w:rsid w:val="004171CB"/>
    <w:rsid w:val="00420717"/>
    <w:rsid w:val="00420F5B"/>
    <w:rsid w:val="00421B16"/>
    <w:rsid w:val="004220A5"/>
    <w:rsid w:val="004232FB"/>
    <w:rsid w:val="0042334C"/>
    <w:rsid w:val="004249B8"/>
    <w:rsid w:val="00424C44"/>
    <w:rsid w:val="004251FD"/>
    <w:rsid w:val="0042546C"/>
    <w:rsid w:val="004258BB"/>
    <w:rsid w:val="004269C9"/>
    <w:rsid w:val="004277B2"/>
    <w:rsid w:val="004300ED"/>
    <w:rsid w:val="0043029F"/>
    <w:rsid w:val="004308C9"/>
    <w:rsid w:val="004328B7"/>
    <w:rsid w:val="00432C1A"/>
    <w:rsid w:val="00433C2E"/>
    <w:rsid w:val="00434D8F"/>
    <w:rsid w:val="00434E88"/>
    <w:rsid w:val="00434F50"/>
    <w:rsid w:val="00435118"/>
    <w:rsid w:val="0043525E"/>
    <w:rsid w:val="00435F58"/>
    <w:rsid w:val="004368D5"/>
    <w:rsid w:val="00436A7B"/>
    <w:rsid w:val="00436B85"/>
    <w:rsid w:val="004377F2"/>
    <w:rsid w:val="004400A0"/>
    <w:rsid w:val="004402B5"/>
    <w:rsid w:val="0044101B"/>
    <w:rsid w:val="00441732"/>
    <w:rsid w:val="00442199"/>
    <w:rsid w:val="0044251D"/>
    <w:rsid w:val="00442D91"/>
    <w:rsid w:val="00443B78"/>
    <w:rsid w:val="00443CA7"/>
    <w:rsid w:val="004444F4"/>
    <w:rsid w:val="00444800"/>
    <w:rsid w:val="00444844"/>
    <w:rsid w:val="00445002"/>
    <w:rsid w:val="0044606A"/>
    <w:rsid w:val="0044638C"/>
    <w:rsid w:val="00447095"/>
    <w:rsid w:val="00447ABA"/>
    <w:rsid w:val="00450B4E"/>
    <w:rsid w:val="00450D4C"/>
    <w:rsid w:val="00450D79"/>
    <w:rsid w:val="00450D8D"/>
    <w:rsid w:val="00451001"/>
    <w:rsid w:val="00451018"/>
    <w:rsid w:val="00451330"/>
    <w:rsid w:val="00451BB2"/>
    <w:rsid w:val="00451E7E"/>
    <w:rsid w:val="00452048"/>
    <w:rsid w:val="004525DA"/>
    <w:rsid w:val="00452611"/>
    <w:rsid w:val="0045328D"/>
    <w:rsid w:val="00453667"/>
    <w:rsid w:val="004537CB"/>
    <w:rsid w:val="00454C15"/>
    <w:rsid w:val="00454CE6"/>
    <w:rsid w:val="00454D19"/>
    <w:rsid w:val="00455756"/>
    <w:rsid w:val="00455DDD"/>
    <w:rsid w:val="0045635D"/>
    <w:rsid w:val="00456C96"/>
    <w:rsid w:val="00457B07"/>
    <w:rsid w:val="00457BD6"/>
    <w:rsid w:val="00460005"/>
    <w:rsid w:val="00460976"/>
    <w:rsid w:val="004609DE"/>
    <w:rsid w:val="00460A9E"/>
    <w:rsid w:val="00460D48"/>
    <w:rsid w:val="00461269"/>
    <w:rsid w:val="004631F8"/>
    <w:rsid w:val="004636F8"/>
    <w:rsid w:val="004640A0"/>
    <w:rsid w:val="00464724"/>
    <w:rsid w:val="00464EFB"/>
    <w:rsid w:val="0046568F"/>
    <w:rsid w:val="00465787"/>
    <w:rsid w:val="00465C2C"/>
    <w:rsid w:val="00465CDB"/>
    <w:rsid w:val="00465FBE"/>
    <w:rsid w:val="004660A1"/>
    <w:rsid w:val="00466363"/>
    <w:rsid w:val="00466B60"/>
    <w:rsid w:val="004673F5"/>
    <w:rsid w:val="00467981"/>
    <w:rsid w:val="00467BDD"/>
    <w:rsid w:val="004703D9"/>
    <w:rsid w:val="00470C85"/>
    <w:rsid w:val="004717BD"/>
    <w:rsid w:val="0047197E"/>
    <w:rsid w:val="0047269E"/>
    <w:rsid w:val="00473C05"/>
    <w:rsid w:val="00473DE2"/>
    <w:rsid w:val="004740F5"/>
    <w:rsid w:val="00474D78"/>
    <w:rsid w:val="00474FFF"/>
    <w:rsid w:val="00475456"/>
    <w:rsid w:val="00475998"/>
    <w:rsid w:val="00475C42"/>
    <w:rsid w:val="00476C23"/>
    <w:rsid w:val="0047752E"/>
    <w:rsid w:val="004777DF"/>
    <w:rsid w:val="00480125"/>
    <w:rsid w:val="00480D1D"/>
    <w:rsid w:val="00481451"/>
    <w:rsid w:val="00481935"/>
    <w:rsid w:val="00481D18"/>
    <w:rsid w:val="00482185"/>
    <w:rsid w:val="00482964"/>
    <w:rsid w:val="00482B15"/>
    <w:rsid w:val="00483420"/>
    <w:rsid w:val="00484292"/>
    <w:rsid w:val="00484693"/>
    <w:rsid w:val="00484800"/>
    <w:rsid w:val="00484E7A"/>
    <w:rsid w:val="00484EC8"/>
    <w:rsid w:val="00484F3D"/>
    <w:rsid w:val="004858F0"/>
    <w:rsid w:val="00486113"/>
    <w:rsid w:val="00486518"/>
    <w:rsid w:val="004867C2"/>
    <w:rsid w:val="00486D2A"/>
    <w:rsid w:val="00487726"/>
    <w:rsid w:val="004878C4"/>
    <w:rsid w:val="00487D2F"/>
    <w:rsid w:val="00490B8B"/>
    <w:rsid w:val="00490D80"/>
    <w:rsid w:val="00490E3D"/>
    <w:rsid w:val="004917A7"/>
    <w:rsid w:val="004921A0"/>
    <w:rsid w:val="0049240B"/>
    <w:rsid w:val="00492CC1"/>
    <w:rsid w:val="0049380E"/>
    <w:rsid w:val="00493E58"/>
    <w:rsid w:val="0049588C"/>
    <w:rsid w:val="00495D03"/>
    <w:rsid w:val="00495D83"/>
    <w:rsid w:val="004964A1"/>
    <w:rsid w:val="0049697A"/>
    <w:rsid w:val="00497245"/>
    <w:rsid w:val="0049734B"/>
    <w:rsid w:val="00497C36"/>
    <w:rsid w:val="004A01C3"/>
    <w:rsid w:val="004A01FA"/>
    <w:rsid w:val="004A049B"/>
    <w:rsid w:val="004A134A"/>
    <w:rsid w:val="004A1519"/>
    <w:rsid w:val="004A1BE3"/>
    <w:rsid w:val="004A1EA6"/>
    <w:rsid w:val="004A2057"/>
    <w:rsid w:val="004A22C5"/>
    <w:rsid w:val="004A2D64"/>
    <w:rsid w:val="004A3189"/>
    <w:rsid w:val="004A3B76"/>
    <w:rsid w:val="004A3D5E"/>
    <w:rsid w:val="004A3E6B"/>
    <w:rsid w:val="004A43BE"/>
    <w:rsid w:val="004A47C1"/>
    <w:rsid w:val="004A4F11"/>
    <w:rsid w:val="004A4F2B"/>
    <w:rsid w:val="004A59EE"/>
    <w:rsid w:val="004A5B20"/>
    <w:rsid w:val="004A5F63"/>
    <w:rsid w:val="004A609E"/>
    <w:rsid w:val="004A626D"/>
    <w:rsid w:val="004A65B5"/>
    <w:rsid w:val="004A700F"/>
    <w:rsid w:val="004A7568"/>
    <w:rsid w:val="004A7DA3"/>
    <w:rsid w:val="004B015C"/>
    <w:rsid w:val="004B1E39"/>
    <w:rsid w:val="004B2077"/>
    <w:rsid w:val="004B37F4"/>
    <w:rsid w:val="004B3EAE"/>
    <w:rsid w:val="004B452E"/>
    <w:rsid w:val="004B48FA"/>
    <w:rsid w:val="004B549C"/>
    <w:rsid w:val="004B59EC"/>
    <w:rsid w:val="004B5E71"/>
    <w:rsid w:val="004B5E92"/>
    <w:rsid w:val="004B5F74"/>
    <w:rsid w:val="004B61B8"/>
    <w:rsid w:val="004B6D32"/>
    <w:rsid w:val="004B720F"/>
    <w:rsid w:val="004B72D7"/>
    <w:rsid w:val="004B749D"/>
    <w:rsid w:val="004C0867"/>
    <w:rsid w:val="004C0C62"/>
    <w:rsid w:val="004C110D"/>
    <w:rsid w:val="004C19B0"/>
    <w:rsid w:val="004C1A38"/>
    <w:rsid w:val="004C1A6F"/>
    <w:rsid w:val="004C1CDD"/>
    <w:rsid w:val="004C1DA7"/>
    <w:rsid w:val="004C2C7C"/>
    <w:rsid w:val="004C2F0D"/>
    <w:rsid w:val="004C3018"/>
    <w:rsid w:val="004C3AD6"/>
    <w:rsid w:val="004C414A"/>
    <w:rsid w:val="004C4660"/>
    <w:rsid w:val="004C4BE9"/>
    <w:rsid w:val="004C5990"/>
    <w:rsid w:val="004C5D41"/>
    <w:rsid w:val="004C6214"/>
    <w:rsid w:val="004C62B2"/>
    <w:rsid w:val="004C6485"/>
    <w:rsid w:val="004C6A37"/>
    <w:rsid w:val="004C724F"/>
    <w:rsid w:val="004C79E9"/>
    <w:rsid w:val="004D0451"/>
    <w:rsid w:val="004D0AEC"/>
    <w:rsid w:val="004D0DC7"/>
    <w:rsid w:val="004D0F7E"/>
    <w:rsid w:val="004D127C"/>
    <w:rsid w:val="004D2156"/>
    <w:rsid w:val="004D48E4"/>
    <w:rsid w:val="004D497A"/>
    <w:rsid w:val="004D4BBD"/>
    <w:rsid w:val="004D51A4"/>
    <w:rsid w:val="004D5516"/>
    <w:rsid w:val="004D5E0C"/>
    <w:rsid w:val="004D5F00"/>
    <w:rsid w:val="004D64B2"/>
    <w:rsid w:val="004D6515"/>
    <w:rsid w:val="004D6D59"/>
    <w:rsid w:val="004E2D7D"/>
    <w:rsid w:val="004E2F69"/>
    <w:rsid w:val="004E31EB"/>
    <w:rsid w:val="004E34CF"/>
    <w:rsid w:val="004E3804"/>
    <w:rsid w:val="004E4930"/>
    <w:rsid w:val="004E60D2"/>
    <w:rsid w:val="004E67C7"/>
    <w:rsid w:val="004E74B6"/>
    <w:rsid w:val="004E7AAD"/>
    <w:rsid w:val="004E7CCB"/>
    <w:rsid w:val="004F0987"/>
    <w:rsid w:val="004F0B3A"/>
    <w:rsid w:val="004F0C3A"/>
    <w:rsid w:val="004F34CA"/>
    <w:rsid w:val="004F3F35"/>
    <w:rsid w:val="004F52D0"/>
    <w:rsid w:val="004F5B39"/>
    <w:rsid w:val="004F5B75"/>
    <w:rsid w:val="004F6139"/>
    <w:rsid w:val="004F7A82"/>
    <w:rsid w:val="004F7F57"/>
    <w:rsid w:val="0050012A"/>
    <w:rsid w:val="00500B8A"/>
    <w:rsid w:val="00501D45"/>
    <w:rsid w:val="00501E56"/>
    <w:rsid w:val="00502271"/>
    <w:rsid w:val="00502D18"/>
    <w:rsid w:val="00503012"/>
    <w:rsid w:val="00503746"/>
    <w:rsid w:val="00503DFD"/>
    <w:rsid w:val="00504A35"/>
    <w:rsid w:val="00505628"/>
    <w:rsid w:val="00505C06"/>
    <w:rsid w:val="00506256"/>
    <w:rsid w:val="0050635E"/>
    <w:rsid w:val="00506DCA"/>
    <w:rsid w:val="005074FA"/>
    <w:rsid w:val="00507B60"/>
    <w:rsid w:val="0051044E"/>
    <w:rsid w:val="00510659"/>
    <w:rsid w:val="00510FD5"/>
    <w:rsid w:val="00511178"/>
    <w:rsid w:val="00511EDC"/>
    <w:rsid w:val="00512FB7"/>
    <w:rsid w:val="005133C2"/>
    <w:rsid w:val="0051368A"/>
    <w:rsid w:val="0051419B"/>
    <w:rsid w:val="0051482B"/>
    <w:rsid w:val="0051494C"/>
    <w:rsid w:val="0051501B"/>
    <w:rsid w:val="00515EC3"/>
    <w:rsid w:val="005165EE"/>
    <w:rsid w:val="00516927"/>
    <w:rsid w:val="00516F3F"/>
    <w:rsid w:val="00517C2A"/>
    <w:rsid w:val="0052090A"/>
    <w:rsid w:val="005216B0"/>
    <w:rsid w:val="00521A63"/>
    <w:rsid w:val="00521AA0"/>
    <w:rsid w:val="00521EF2"/>
    <w:rsid w:val="0052237F"/>
    <w:rsid w:val="00522C3B"/>
    <w:rsid w:val="00522D49"/>
    <w:rsid w:val="00523190"/>
    <w:rsid w:val="00523547"/>
    <w:rsid w:val="00523A85"/>
    <w:rsid w:val="00523B28"/>
    <w:rsid w:val="00523D0C"/>
    <w:rsid w:val="005243FB"/>
    <w:rsid w:val="005248E8"/>
    <w:rsid w:val="005258EC"/>
    <w:rsid w:val="00525FFB"/>
    <w:rsid w:val="00526154"/>
    <w:rsid w:val="005261D3"/>
    <w:rsid w:val="00526352"/>
    <w:rsid w:val="00526DAC"/>
    <w:rsid w:val="005270B2"/>
    <w:rsid w:val="00527154"/>
    <w:rsid w:val="00527565"/>
    <w:rsid w:val="00527855"/>
    <w:rsid w:val="00530032"/>
    <w:rsid w:val="00530521"/>
    <w:rsid w:val="00530A23"/>
    <w:rsid w:val="005317F0"/>
    <w:rsid w:val="00531F6E"/>
    <w:rsid w:val="00532290"/>
    <w:rsid w:val="005326FB"/>
    <w:rsid w:val="00532804"/>
    <w:rsid w:val="00532B3A"/>
    <w:rsid w:val="00532F3B"/>
    <w:rsid w:val="00533057"/>
    <w:rsid w:val="00533583"/>
    <w:rsid w:val="0053372F"/>
    <w:rsid w:val="00534B16"/>
    <w:rsid w:val="00534CBA"/>
    <w:rsid w:val="00535520"/>
    <w:rsid w:val="00535FF4"/>
    <w:rsid w:val="0053654B"/>
    <w:rsid w:val="00537693"/>
    <w:rsid w:val="00537D96"/>
    <w:rsid w:val="00541183"/>
    <w:rsid w:val="005423FC"/>
    <w:rsid w:val="00542594"/>
    <w:rsid w:val="00542817"/>
    <w:rsid w:val="00542F7D"/>
    <w:rsid w:val="00543569"/>
    <w:rsid w:val="00543B5D"/>
    <w:rsid w:val="005441EB"/>
    <w:rsid w:val="0054424C"/>
    <w:rsid w:val="005444D6"/>
    <w:rsid w:val="00544853"/>
    <w:rsid w:val="00544A32"/>
    <w:rsid w:val="0054558D"/>
    <w:rsid w:val="0054577D"/>
    <w:rsid w:val="00545785"/>
    <w:rsid w:val="005459DA"/>
    <w:rsid w:val="00545C72"/>
    <w:rsid w:val="00545CA2"/>
    <w:rsid w:val="00546067"/>
    <w:rsid w:val="00546AAD"/>
    <w:rsid w:val="00546F5A"/>
    <w:rsid w:val="00547982"/>
    <w:rsid w:val="00547D8A"/>
    <w:rsid w:val="005509D5"/>
    <w:rsid w:val="00550CC7"/>
    <w:rsid w:val="00551870"/>
    <w:rsid w:val="00551EB8"/>
    <w:rsid w:val="0055204A"/>
    <w:rsid w:val="005521D4"/>
    <w:rsid w:val="00552F83"/>
    <w:rsid w:val="00552FA6"/>
    <w:rsid w:val="0055302A"/>
    <w:rsid w:val="005532EF"/>
    <w:rsid w:val="00554501"/>
    <w:rsid w:val="00554EDE"/>
    <w:rsid w:val="00554FD1"/>
    <w:rsid w:val="00555123"/>
    <w:rsid w:val="0055532A"/>
    <w:rsid w:val="00555A11"/>
    <w:rsid w:val="00555BD3"/>
    <w:rsid w:val="005560CA"/>
    <w:rsid w:val="00556A8C"/>
    <w:rsid w:val="0055743A"/>
    <w:rsid w:val="00557540"/>
    <w:rsid w:val="00560A96"/>
    <w:rsid w:val="005613DD"/>
    <w:rsid w:val="00561D2F"/>
    <w:rsid w:val="00561E78"/>
    <w:rsid w:val="005620B7"/>
    <w:rsid w:val="005628BB"/>
    <w:rsid w:val="00562ECB"/>
    <w:rsid w:val="00563027"/>
    <w:rsid w:val="00563C5F"/>
    <w:rsid w:val="00563D56"/>
    <w:rsid w:val="005641AB"/>
    <w:rsid w:val="00564452"/>
    <w:rsid w:val="00564592"/>
    <w:rsid w:val="005646CA"/>
    <w:rsid w:val="00565E8B"/>
    <w:rsid w:val="0056607F"/>
    <w:rsid w:val="005663CE"/>
    <w:rsid w:val="00566893"/>
    <w:rsid w:val="00567689"/>
    <w:rsid w:val="00570285"/>
    <w:rsid w:val="00570B92"/>
    <w:rsid w:val="00570EC3"/>
    <w:rsid w:val="00573214"/>
    <w:rsid w:val="00575B21"/>
    <w:rsid w:val="00575C36"/>
    <w:rsid w:val="00575DB5"/>
    <w:rsid w:val="00575E45"/>
    <w:rsid w:val="005762CA"/>
    <w:rsid w:val="0057678B"/>
    <w:rsid w:val="00576F23"/>
    <w:rsid w:val="00577A93"/>
    <w:rsid w:val="00577DAE"/>
    <w:rsid w:val="00581A0A"/>
    <w:rsid w:val="00581D9B"/>
    <w:rsid w:val="005825CB"/>
    <w:rsid w:val="005826A2"/>
    <w:rsid w:val="0058346C"/>
    <w:rsid w:val="00583B5E"/>
    <w:rsid w:val="005843AE"/>
    <w:rsid w:val="00584773"/>
    <w:rsid w:val="00584908"/>
    <w:rsid w:val="00584BDB"/>
    <w:rsid w:val="00584C7B"/>
    <w:rsid w:val="00584E1D"/>
    <w:rsid w:val="00584F6A"/>
    <w:rsid w:val="00585081"/>
    <w:rsid w:val="005853A0"/>
    <w:rsid w:val="005854D0"/>
    <w:rsid w:val="00585E59"/>
    <w:rsid w:val="00585F4D"/>
    <w:rsid w:val="0058642A"/>
    <w:rsid w:val="005864DD"/>
    <w:rsid w:val="005870E7"/>
    <w:rsid w:val="00587A8F"/>
    <w:rsid w:val="00587D9E"/>
    <w:rsid w:val="0059024C"/>
    <w:rsid w:val="00590841"/>
    <w:rsid w:val="00591FF9"/>
    <w:rsid w:val="00592C39"/>
    <w:rsid w:val="00592C54"/>
    <w:rsid w:val="00593885"/>
    <w:rsid w:val="00594B21"/>
    <w:rsid w:val="00595476"/>
    <w:rsid w:val="005962A9"/>
    <w:rsid w:val="00596839"/>
    <w:rsid w:val="00596FFC"/>
    <w:rsid w:val="0059789A"/>
    <w:rsid w:val="005A0104"/>
    <w:rsid w:val="005A09A3"/>
    <w:rsid w:val="005A0C68"/>
    <w:rsid w:val="005A0C83"/>
    <w:rsid w:val="005A1572"/>
    <w:rsid w:val="005A171C"/>
    <w:rsid w:val="005A1D7B"/>
    <w:rsid w:val="005A1EC5"/>
    <w:rsid w:val="005A205A"/>
    <w:rsid w:val="005A20E1"/>
    <w:rsid w:val="005A2528"/>
    <w:rsid w:val="005A25F4"/>
    <w:rsid w:val="005A333B"/>
    <w:rsid w:val="005A5062"/>
    <w:rsid w:val="005A5108"/>
    <w:rsid w:val="005A526E"/>
    <w:rsid w:val="005A56E8"/>
    <w:rsid w:val="005A5746"/>
    <w:rsid w:val="005A795B"/>
    <w:rsid w:val="005A7F42"/>
    <w:rsid w:val="005B0035"/>
    <w:rsid w:val="005B074C"/>
    <w:rsid w:val="005B08D8"/>
    <w:rsid w:val="005B0A95"/>
    <w:rsid w:val="005B1549"/>
    <w:rsid w:val="005B16C3"/>
    <w:rsid w:val="005B18DC"/>
    <w:rsid w:val="005B1952"/>
    <w:rsid w:val="005B1BF1"/>
    <w:rsid w:val="005B2059"/>
    <w:rsid w:val="005B2A3C"/>
    <w:rsid w:val="005B3D99"/>
    <w:rsid w:val="005B40CA"/>
    <w:rsid w:val="005B46F2"/>
    <w:rsid w:val="005B47C4"/>
    <w:rsid w:val="005B4D0B"/>
    <w:rsid w:val="005B541B"/>
    <w:rsid w:val="005B563A"/>
    <w:rsid w:val="005B654C"/>
    <w:rsid w:val="005B73B2"/>
    <w:rsid w:val="005B7F60"/>
    <w:rsid w:val="005C1455"/>
    <w:rsid w:val="005C1AF0"/>
    <w:rsid w:val="005C1C99"/>
    <w:rsid w:val="005C267B"/>
    <w:rsid w:val="005C2714"/>
    <w:rsid w:val="005C30DD"/>
    <w:rsid w:val="005C45AB"/>
    <w:rsid w:val="005C5814"/>
    <w:rsid w:val="005C6259"/>
    <w:rsid w:val="005C6265"/>
    <w:rsid w:val="005C68E2"/>
    <w:rsid w:val="005C6AEB"/>
    <w:rsid w:val="005C712E"/>
    <w:rsid w:val="005C78CB"/>
    <w:rsid w:val="005C7FC4"/>
    <w:rsid w:val="005D0776"/>
    <w:rsid w:val="005D0A4D"/>
    <w:rsid w:val="005D1A55"/>
    <w:rsid w:val="005D1F75"/>
    <w:rsid w:val="005D21B1"/>
    <w:rsid w:val="005D21F5"/>
    <w:rsid w:val="005D2460"/>
    <w:rsid w:val="005D26EB"/>
    <w:rsid w:val="005D2BD3"/>
    <w:rsid w:val="005D3100"/>
    <w:rsid w:val="005D37CE"/>
    <w:rsid w:val="005D3F86"/>
    <w:rsid w:val="005D413F"/>
    <w:rsid w:val="005D430D"/>
    <w:rsid w:val="005D4833"/>
    <w:rsid w:val="005D4FE9"/>
    <w:rsid w:val="005D5917"/>
    <w:rsid w:val="005D6793"/>
    <w:rsid w:val="005D7AE9"/>
    <w:rsid w:val="005E0833"/>
    <w:rsid w:val="005E0893"/>
    <w:rsid w:val="005E090F"/>
    <w:rsid w:val="005E0C18"/>
    <w:rsid w:val="005E0EC7"/>
    <w:rsid w:val="005E1075"/>
    <w:rsid w:val="005E131C"/>
    <w:rsid w:val="005E18CD"/>
    <w:rsid w:val="005E1A8C"/>
    <w:rsid w:val="005E1EDF"/>
    <w:rsid w:val="005E2163"/>
    <w:rsid w:val="005E2D96"/>
    <w:rsid w:val="005E33FF"/>
    <w:rsid w:val="005E39B9"/>
    <w:rsid w:val="005E3CD7"/>
    <w:rsid w:val="005E4902"/>
    <w:rsid w:val="005E5020"/>
    <w:rsid w:val="005E51A3"/>
    <w:rsid w:val="005E5882"/>
    <w:rsid w:val="005E58AD"/>
    <w:rsid w:val="005E5EF4"/>
    <w:rsid w:val="005E615E"/>
    <w:rsid w:val="005E6848"/>
    <w:rsid w:val="005E7485"/>
    <w:rsid w:val="005E792D"/>
    <w:rsid w:val="005F0894"/>
    <w:rsid w:val="005F1440"/>
    <w:rsid w:val="005F361F"/>
    <w:rsid w:val="005F3B2E"/>
    <w:rsid w:val="005F3D1F"/>
    <w:rsid w:val="005F3E2E"/>
    <w:rsid w:val="005F473A"/>
    <w:rsid w:val="005F6005"/>
    <w:rsid w:val="005F61D7"/>
    <w:rsid w:val="005F6EC8"/>
    <w:rsid w:val="005F7827"/>
    <w:rsid w:val="005F785C"/>
    <w:rsid w:val="0060023E"/>
    <w:rsid w:val="00600847"/>
    <w:rsid w:val="006015B6"/>
    <w:rsid w:val="00602270"/>
    <w:rsid w:val="00602316"/>
    <w:rsid w:val="00602A0B"/>
    <w:rsid w:val="00602E3D"/>
    <w:rsid w:val="00603067"/>
    <w:rsid w:val="00603333"/>
    <w:rsid w:val="00603423"/>
    <w:rsid w:val="00604235"/>
    <w:rsid w:val="00604396"/>
    <w:rsid w:val="00604496"/>
    <w:rsid w:val="0060458A"/>
    <w:rsid w:val="00604B20"/>
    <w:rsid w:val="00605916"/>
    <w:rsid w:val="00605C09"/>
    <w:rsid w:val="00607BE6"/>
    <w:rsid w:val="00607F78"/>
    <w:rsid w:val="00610035"/>
    <w:rsid w:val="00610924"/>
    <w:rsid w:val="006119D4"/>
    <w:rsid w:val="00611E53"/>
    <w:rsid w:val="00611F1A"/>
    <w:rsid w:val="00612490"/>
    <w:rsid w:val="00612ECC"/>
    <w:rsid w:val="006134C9"/>
    <w:rsid w:val="00613594"/>
    <w:rsid w:val="006138B0"/>
    <w:rsid w:val="00613DBD"/>
    <w:rsid w:val="00614029"/>
    <w:rsid w:val="00614BC8"/>
    <w:rsid w:val="00616387"/>
    <w:rsid w:val="006167DF"/>
    <w:rsid w:val="00616C77"/>
    <w:rsid w:val="00616DAF"/>
    <w:rsid w:val="00616FC3"/>
    <w:rsid w:val="006205E2"/>
    <w:rsid w:val="00620A09"/>
    <w:rsid w:val="0062210E"/>
    <w:rsid w:val="006221F5"/>
    <w:rsid w:val="00622485"/>
    <w:rsid w:val="00622531"/>
    <w:rsid w:val="00622638"/>
    <w:rsid w:val="006227A2"/>
    <w:rsid w:val="006229F7"/>
    <w:rsid w:val="00622B94"/>
    <w:rsid w:val="006230AA"/>
    <w:rsid w:val="00624FCE"/>
    <w:rsid w:val="00625492"/>
    <w:rsid w:val="006261B7"/>
    <w:rsid w:val="006261BC"/>
    <w:rsid w:val="006267E1"/>
    <w:rsid w:val="00626C09"/>
    <w:rsid w:val="00630202"/>
    <w:rsid w:val="006302B8"/>
    <w:rsid w:val="006304A9"/>
    <w:rsid w:val="006305E6"/>
    <w:rsid w:val="00630B3E"/>
    <w:rsid w:val="006312CF"/>
    <w:rsid w:val="006312F0"/>
    <w:rsid w:val="0063132D"/>
    <w:rsid w:val="00631416"/>
    <w:rsid w:val="00631DE4"/>
    <w:rsid w:val="006323C5"/>
    <w:rsid w:val="006324F0"/>
    <w:rsid w:val="006327D0"/>
    <w:rsid w:val="00632C1E"/>
    <w:rsid w:val="0063337B"/>
    <w:rsid w:val="006342FA"/>
    <w:rsid w:val="00634413"/>
    <w:rsid w:val="006347A8"/>
    <w:rsid w:val="0063550C"/>
    <w:rsid w:val="00635796"/>
    <w:rsid w:val="006360C6"/>
    <w:rsid w:val="0063621C"/>
    <w:rsid w:val="006362B2"/>
    <w:rsid w:val="0063641D"/>
    <w:rsid w:val="006365F8"/>
    <w:rsid w:val="006373B8"/>
    <w:rsid w:val="0063756A"/>
    <w:rsid w:val="00637D4E"/>
    <w:rsid w:val="00637D65"/>
    <w:rsid w:val="00640C10"/>
    <w:rsid w:val="006412F0"/>
    <w:rsid w:val="006414A7"/>
    <w:rsid w:val="00641E54"/>
    <w:rsid w:val="00641EA7"/>
    <w:rsid w:val="006420AA"/>
    <w:rsid w:val="0064212D"/>
    <w:rsid w:val="00642C1E"/>
    <w:rsid w:val="00642D79"/>
    <w:rsid w:val="0064343C"/>
    <w:rsid w:val="00643D60"/>
    <w:rsid w:val="00643E46"/>
    <w:rsid w:val="006443E4"/>
    <w:rsid w:val="0064517E"/>
    <w:rsid w:val="006454A2"/>
    <w:rsid w:val="00645A34"/>
    <w:rsid w:val="00645E40"/>
    <w:rsid w:val="0064634D"/>
    <w:rsid w:val="006465B2"/>
    <w:rsid w:val="00646F66"/>
    <w:rsid w:val="00646F81"/>
    <w:rsid w:val="00647502"/>
    <w:rsid w:val="00647D40"/>
    <w:rsid w:val="006500D0"/>
    <w:rsid w:val="006508A3"/>
    <w:rsid w:val="00652558"/>
    <w:rsid w:val="00652DE5"/>
    <w:rsid w:val="006540E0"/>
    <w:rsid w:val="0065457A"/>
    <w:rsid w:val="00655905"/>
    <w:rsid w:val="00656900"/>
    <w:rsid w:val="00656FCB"/>
    <w:rsid w:val="006575A1"/>
    <w:rsid w:val="0066086C"/>
    <w:rsid w:val="006611EE"/>
    <w:rsid w:val="0066134A"/>
    <w:rsid w:val="0066142E"/>
    <w:rsid w:val="006616E2"/>
    <w:rsid w:val="00661BF9"/>
    <w:rsid w:val="00661C87"/>
    <w:rsid w:val="00662D5E"/>
    <w:rsid w:val="006634E2"/>
    <w:rsid w:val="00663616"/>
    <w:rsid w:val="00663A59"/>
    <w:rsid w:val="00664308"/>
    <w:rsid w:val="00664855"/>
    <w:rsid w:val="00665777"/>
    <w:rsid w:val="00666620"/>
    <w:rsid w:val="006673FB"/>
    <w:rsid w:val="0066781B"/>
    <w:rsid w:val="00667EF0"/>
    <w:rsid w:val="006712DC"/>
    <w:rsid w:val="00671825"/>
    <w:rsid w:val="00671E3E"/>
    <w:rsid w:val="006720BC"/>
    <w:rsid w:val="00672464"/>
    <w:rsid w:val="00672A6E"/>
    <w:rsid w:val="006731B6"/>
    <w:rsid w:val="00673D94"/>
    <w:rsid w:val="00674070"/>
    <w:rsid w:val="00675D06"/>
    <w:rsid w:val="00675DD6"/>
    <w:rsid w:val="00675F65"/>
    <w:rsid w:val="00676177"/>
    <w:rsid w:val="006771A2"/>
    <w:rsid w:val="00677648"/>
    <w:rsid w:val="00677A2E"/>
    <w:rsid w:val="006802BF"/>
    <w:rsid w:val="006807B5"/>
    <w:rsid w:val="0068098F"/>
    <w:rsid w:val="00681124"/>
    <w:rsid w:val="00681BB0"/>
    <w:rsid w:val="00681C84"/>
    <w:rsid w:val="00681ECB"/>
    <w:rsid w:val="006822B9"/>
    <w:rsid w:val="00683163"/>
    <w:rsid w:val="006832FF"/>
    <w:rsid w:val="006833A4"/>
    <w:rsid w:val="00683B8F"/>
    <w:rsid w:val="00684E49"/>
    <w:rsid w:val="00684F37"/>
    <w:rsid w:val="00685EC9"/>
    <w:rsid w:val="006863EE"/>
    <w:rsid w:val="00686715"/>
    <w:rsid w:val="00686B5D"/>
    <w:rsid w:val="006873CB"/>
    <w:rsid w:val="006907A9"/>
    <w:rsid w:val="0069153F"/>
    <w:rsid w:val="0069290A"/>
    <w:rsid w:val="00693EE8"/>
    <w:rsid w:val="0069429A"/>
    <w:rsid w:val="00694D8B"/>
    <w:rsid w:val="00695425"/>
    <w:rsid w:val="006957ED"/>
    <w:rsid w:val="00697F9B"/>
    <w:rsid w:val="006A0761"/>
    <w:rsid w:val="006A0AED"/>
    <w:rsid w:val="006A103F"/>
    <w:rsid w:val="006A1622"/>
    <w:rsid w:val="006A1971"/>
    <w:rsid w:val="006A1A25"/>
    <w:rsid w:val="006A1CB9"/>
    <w:rsid w:val="006A1D49"/>
    <w:rsid w:val="006A2528"/>
    <w:rsid w:val="006A365A"/>
    <w:rsid w:val="006A37BB"/>
    <w:rsid w:val="006A3EB4"/>
    <w:rsid w:val="006A536B"/>
    <w:rsid w:val="006A60D5"/>
    <w:rsid w:val="006A6400"/>
    <w:rsid w:val="006A766F"/>
    <w:rsid w:val="006A78FC"/>
    <w:rsid w:val="006A7A1F"/>
    <w:rsid w:val="006B164A"/>
    <w:rsid w:val="006B1D07"/>
    <w:rsid w:val="006B1F1B"/>
    <w:rsid w:val="006B2939"/>
    <w:rsid w:val="006B2FA3"/>
    <w:rsid w:val="006B3064"/>
    <w:rsid w:val="006B38B4"/>
    <w:rsid w:val="006B3B11"/>
    <w:rsid w:val="006B4089"/>
    <w:rsid w:val="006B414A"/>
    <w:rsid w:val="006B44F3"/>
    <w:rsid w:val="006B4DA5"/>
    <w:rsid w:val="006B51BE"/>
    <w:rsid w:val="006B57DC"/>
    <w:rsid w:val="006B614B"/>
    <w:rsid w:val="006B64A2"/>
    <w:rsid w:val="006B6DDB"/>
    <w:rsid w:val="006B705C"/>
    <w:rsid w:val="006B733B"/>
    <w:rsid w:val="006B7902"/>
    <w:rsid w:val="006B7940"/>
    <w:rsid w:val="006B7E6C"/>
    <w:rsid w:val="006C030D"/>
    <w:rsid w:val="006C0389"/>
    <w:rsid w:val="006C09B8"/>
    <w:rsid w:val="006C0A15"/>
    <w:rsid w:val="006C0B82"/>
    <w:rsid w:val="006C1D36"/>
    <w:rsid w:val="006C2720"/>
    <w:rsid w:val="006C2861"/>
    <w:rsid w:val="006C2CE1"/>
    <w:rsid w:val="006C35F6"/>
    <w:rsid w:val="006C3B27"/>
    <w:rsid w:val="006C3F5F"/>
    <w:rsid w:val="006C4EB1"/>
    <w:rsid w:val="006C50BD"/>
    <w:rsid w:val="006C529E"/>
    <w:rsid w:val="006C5CF5"/>
    <w:rsid w:val="006C5F1A"/>
    <w:rsid w:val="006C6025"/>
    <w:rsid w:val="006C631D"/>
    <w:rsid w:val="006C6CFF"/>
    <w:rsid w:val="006C6DAC"/>
    <w:rsid w:val="006C7477"/>
    <w:rsid w:val="006C7B56"/>
    <w:rsid w:val="006C7F53"/>
    <w:rsid w:val="006D00FD"/>
    <w:rsid w:val="006D0A4B"/>
    <w:rsid w:val="006D1086"/>
    <w:rsid w:val="006D2692"/>
    <w:rsid w:val="006D2C83"/>
    <w:rsid w:val="006D2F76"/>
    <w:rsid w:val="006D3196"/>
    <w:rsid w:val="006D431E"/>
    <w:rsid w:val="006D4528"/>
    <w:rsid w:val="006D4C01"/>
    <w:rsid w:val="006D4C9A"/>
    <w:rsid w:val="006D5668"/>
    <w:rsid w:val="006D59F9"/>
    <w:rsid w:val="006D771D"/>
    <w:rsid w:val="006D7EEE"/>
    <w:rsid w:val="006E00A3"/>
    <w:rsid w:val="006E00E6"/>
    <w:rsid w:val="006E13E7"/>
    <w:rsid w:val="006E18C4"/>
    <w:rsid w:val="006E223F"/>
    <w:rsid w:val="006E33B5"/>
    <w:rsid w:val="006E3C3D"/>
    <w:rsid w:val="006E4054"/>
    <w:rsid w:val="006E4B4F"/>
    <w:rsid w:val="006E4BE1"/>
    <w:rsid w:val="006E5020"/>
    <w:rsid w:val="006E54CC"/>
    <w:rsid w:val="006E5A71"/>
    <w:rsid w:val="006E6797"/>
    <w:rsid w:val="006E6908"/>
    <w:rsid w:val="006E731E"/>
    <w:rsid w:val="006E79A4"/>
    <w:rsid w:val="006E7D7B"/>
    <w:rsid w:val="006E7ECF"/>
    <w:rsid w:val="006F0341"/>
    <w:rsid w:val="006F10EE"/>
    <w:rsid w:val="006F1CF3"/>
    <w:rsid w:val="006F2FB5"/>
    <w:rsid w:val="006F3493"/>
    <w:rsid w:val="006F34CB"/>
    <w:rsid w:val="006F3AF3"/>
    <w:rsid w:val="006F4359"/>
    <w:rsid w:val="006F5189"/>
    <w:rsid w:val="006F52F1"/>
    <w:rsid w:val="006F5BC9"/>
    <w:rsid w:val="006F5C7B"/>
    <w:rsid w:val="006F627F"/>
    <w:rsid w:val="006F64BE"/>
    <w:rsid w:val="006F6FD2"/>
    <w:rsid w:val="006F73B4"/>
    <w:rsid w:val="006F7C74"/>
    <w:rsid w:val="006F7E61"/>
    <w:rsid w:val="006F7F26"/>
    <w:rsid w:val="00700455"/>
    <w:rsid w:val="00700B8D"/>
    <w:rsid w:val="00701456"/>
    <w:rsid w:val="00701A84"/>
    <w:rsid w:val="0070240E"/>
    <w:rsid w:val="00702B32"/>
    <w:rsid w:val="007042DB"/>
    <w:rsid w:val="0070435B"/>
    <w:rsid w:val="007050AC"/>
    <w:rsid w:val="007053E9"/>
    <w:rsid w:val="007057D8"/>
    <w:rsid w:val="00706E71"/>
    <w:rsid w:val="00707841"/>
    <w:rsid w:val="00707E1A"/>
    <w:rsid w:val="007112E2"/>
    <w:rsid w:val="0071188F"/>
    <w:rsid w:val="00712676"/>
    <w:rsid w:val="00713E7F"/>
    <w:rsid w:val="00713F9D"/>
    <w:rsid w:val="00714CD9"/>
    <w:rsid w:val="0071525B"/>
    <w:rsid w:val="007175D0"/>
    <w:rsid w:val="00717827"/>
    <w:rsid w:val="00717883"/>
    <w:rsid w:val="00720181"/>
    <w:rsid w:val="00720278"/>
    <w:rsid w:val="00720750"/>
    <w:rsid w:val="00720D1B"/>
    <w:rsid w:val="00721D61"/>
    <w:rsid w:val="0072358A"/>
    <w:rsid w:val="00723845"/>
    <w:rsid w:val="00723BA9"/>
    <w:rsid w:val="00723C41"/>
    <w:rsid w:val="00723F2F"/>
    <w:rsid w:val="00725403"/>
    <w:rsid w:val="00725641"/>
    <w:rsid w:val="0072599D"/>
    <w:rsid w:val="00725E19"/>
    <w:rsid w:val="007267F3"/>
    <w:rsid w:val="00726899"/>
    <w:rsid w:val="007268C6"/>
    <w:rsid w:val="00727080"/>
    <w:rsid w:val="00727684"/>
    <w:rsid w:val="00727E2A"/>
    <w:rsid w:val="00727FB6"/>
    <w:rsid w:val="007302CD"/>
    <w:rsid w:val="00730C3C"/>
    <w:rsid w:val="00730C85"/>
    <w:rsid w:val="00730F3A"/>
    <w:rsid w:val="00731013"/>
    <w:rsid w:val="00731223"/>
    <w:rsid w:val="00731B66"/>
    <w:rsid w:val="00731E79"/>
    <w:rsid w:val="00732A33"/>
    <w:rsid w:val="00732C40"/>
    <w:rsid w:val="00732D21"/>
    <w:rsid w:val="00732E3E"/>
    <w:rsid w:val="007333C5"/>
    <w:rsid w:val="00733A07"/>
    <w:rsid w:val="00734882"/>
    <w:rsid w:val="00734C21"/>
    <w:rsid w:val="00735216"/>
    <w:rsid w:val="00736D39"/>
    <w:rsid w:val="007374D2"/>
    <w:rsid w:val="007404AF"/>
    <w:rsid w:val="00740972"/>
    <w:rsid w:val="00740F85"/>
    <w:rsid w:val="00741472"/>
    <w:rsid w:val="007415C3"/>
    <w:rsid w:val="00742BA3"/>
    <w:rsid w:val="00743572"/>
    <w:rsid w:val="0074397C"/>
    <w:rsid w:val="0074464A"/>
    <w:rsid w:val="00744931"/>
    <w:rsid w:val="00744A94"/>
    <w:rsid w:val="00744C16"/>
    <w:rsid w:val="00745D1E"/>
    <w:rsid w:val="00746A41"/>
    <w:rsid w:val="00746F9E"/>
    <w:rsid w:val="007473AA"/>
    <w:rsid w:val="00747A99"/>
    <w:rsid w:val="00750D33"/>
    <w:rsid w:val="0075107D"/>
    <w:rsid w:val="0075119A"/>
    <w:rsid w:val="007512F7"/>
    <w:rsid w:val="00751E37"/>
    <w:rsid w:val="00752D2F"/>
    <w:rsid w:val="00753C79"/>
    <w:rsid w:val="00753DC9"/>
    <w:rsid w:val="007540C1"/>
    <w:rsid w:val="007543EA"/>
    <w:rsid w:val="0075560E"/>
    <w:rsid w:val="00755821"/>
    <w:rsid w:val="00756271"/>
    <w:rsid w:val="00756659"/>
    <w:rsid w:val="007566C3"/>
    <w:rsid w:val="00756C18"/>
    <w:rsid w:val="00756C22"/>
    <w:rsid w:val="007574A6"/>
    <w:rsid w:val="007579D1"/>
    <w:rsid w:val="00757C49"/>
    <w:rsid w:val="00757D37"/>
    <w:rsid w:val="00760307"/>
    <w:rsid w:val="007608B4"/>
    <w:rsid w:val="00760BDB"/>
    <w:rsid w:val="00761607"/>
    <w:rsid w:val="00761D55"/>
    <w:rsid w:val="00761FEC"/>
    <w:rsid w:val="00762106"/>
    <w:rsid w:val="00762B3B"/>
    <w:rsid w:val="00763049"/>
    <w:rsid w:val="0076514C"/>
    <w:rsid w:val="00765171"/>
    <w:rsid w:val="0076565F"/>
    <w:rsid w:val="0076599F"/>
    <w:rsid w:val="00766396"/>
    <w:rsid w:val="00766690"/>
    <w:rsid w:val="007701AF"/>
    <w:rsid w:val="007706B1"/>
    <w:rsid w:val="00771A64"/>
    <w:rsid w:val="00771A72"/>
    <w:rsid w:val="007721A3"/>
    <w:rsid w:val="0077232F"/>
    <w:rsid w:val="007725A7"/>
    <w:rsid w:val="00772BA2"/>
    <w:rsid w:val="0077395C"/>
    <w:rsid w:val="00773D7F"/>
    <w:rsid w:val="00773DF8"/>
    <w:rsid w:val="007750FC"/>
    <w:rsid w:val="00775699"/>
    <w:rsid w:val="00775B89"/>
    <w:rsid w:val="0077695C"/>
    <w:rsid w:val="0077737A"/>
    <w:rsid w:val="007773F9"/>
    <w:rsid w:val="00777D2D"/>
    <w:rsid w:val="00777D97"/>
    <w:rsid w:val="007805D9"/>
    <w:rsid w:val="0078066D"/>
    <w:rsid w:val="00781CC0"/>
    <w:rsid w:val="00781D49"/>
    <w:rsid w:val="00783717"/>
    <w:rsid w:val="007839B6"/>
    <w:rsid w:val="00784B38"/>
    <w:rsid w:val="00785454"/>
    <w:rsid w:val="0078550C"/>
    <w:rsid w:val="0078551C"/>
    <w:rsid w:val="0078575A"/>
    <w:rsid w:val="00785BBF"/>
    <w:rsid w:val="00785E66"/>
    <w:rsid w:val="007860FB"/>
    <w:rsid w:val="0078626F"/>
    <w:rsid w:val="0078761A"/>
    <w:rsid w:val="007879D5"/>
    <w:rsid w:val="0079061B"/>
    <w:rsid w:val="00790AC9"/>
    <w:rsid w:val="00790B4A"/>
    <w:rsid w:val="00790CDF"/>
    <w:rsid w:val="007916F6"/>
    <w:rsid w:val="00792C95"/>
    <w:rsid w:val="00792F6B"/>
    <w:rsid w:val="007930C7"/>
    <w:rsid w:val="00793634"/>
    <w:rsid w:val="007944A0"/>
    <w:rsid w:val="007944BB"/>
    <w:rsid w:val="007949D3"/>
    <w:rsid w:val="00795000"/>
    <w:rsid w:val="00795326"/>
    <w:rsid w:val="00795440"/>
    <w:rsid w:val="007954BD"/>
    <w:rsid w:val="007957EE"/>
    <w:rsid w:val="00795829"/>
    <w:rsid w:val="00795863"/>
    <w:rsid w:val="007960F8"/>
    <w:rsid w:val="00796416"/>
    <w:rsid w:val="00796D50"/>
    <w:rsid w:val="00796DCD"/>
    <w:rsid w:val="00797417"/>
    <w:rsid w:val="00797B38"/>
    <w:rsid w:val="007A1691"/>
    <w:rsid w:val="007A1CA8"/>
    <w:rsid w:val="007A22E7"/>
    <w:rsid w:val="007A23DF"/>
    <w:rsid w:val="007A29B2"/>
    <w:rsid w:val="007A2ADF"/>
    <w:rsid w:val="007A33B8"/>
    <w:rsid w:val="007A37C0"/>
    <w:rsid w:val="007A3C14"/>
    <w:rsid w:val="007A4621"/>
    <w:rsid w:val="007A4FC2"/>
    <w:rsid w:val="007A61E7"/>
    <w:rsid w:val="007A63E3"/>
    <w:rsid w:val="007A7256"/>
    <w:rsid w:val="007A78E7"/>
    <w:rsid w:val="007A7E0E"/>
    <w:rsid w:val="007B00F7"/>
    <w:rsid w:val="007B1133"/>
    <w:rsid w:val="007B1FDC"/>
    <w:rsid w:val="007B2620"/>
    <w:rsid w:val="007B2633"/>
    <w:rsid w:val="007B26D2"/>
    <w:rsid w:val="007B2A5E"/>
    <w:rsid w:val="007B35C3"/>
    <w:rsid w:val="007B5088"/>
    <w:rsid w:val="007B50DE"/>
    <w:rsid w:val="007B5897"/>
    <w:rsid w:val="007B68DF"/>
    <w:rsid w:val="007B6F97"/>
    <w:rsid w:val="007B7447"/>
    <w:rsid w:val="007B79F8"/>
    <w:rsid w:val="007B7E1B"/>
    <w:rsid w:val="007C1B50"/>
    <w:rsid w:val="007C1C78"/>
    <w:rsid w:val="007C2859"/>
    <w:rsid w:val="007C2AAC"/>
    <w:rsid w:val="007C2D1A"/>
    <w:rsid w:val="007C3348"/>
    <w:rsid w:val="007C4360"/>
    <w:rsid w:val="007C4795"/>
    <w:rsid w:val="007C6FD1"/>
    <w:rsid w:val="007D08FA"/>
    <w:rsid w:val="007D0FC2"/>
    <w:rsid w:val="007D1E05"/>
    <w:rsid w:val="007D32D3"/>
    <w:rsid w:val="007D4107"/>
    <w:rsid w:val="007D443B"/>
    <w:rsid w:val="007D45CA"/>
    <w:rsid w:val="007D4BBC"/>
    <w:rsid w:val="007D50EE"/>
    <w:rsid w:val="007D5362"/>
    <w:rsid w:val="007D5412"/>
    <w:rsid w:val="007D58E2"/>
    <w:rsid w:val="007D5C27"/>
    <w:rsid w:val="007D5C4E"/>
    <w:rsid w:val="007D5D99"/>
    <w:rsid w:val="007D5E3F"/>
    <w:rsid w:val="007D6338"/>
    <w:rsid w:val="007D6AC9"/>
    <w:rsid w:val="007D6B35"/>
    <w:rsid w:val="007D6D2D"/>
    <w:rsid w:val="007D7129"/>
    <w:rsid w:val="007D7BA0"/>
    <w:rsid w:val="007E0895"/>
    <w:rsid w:val="007E1776"/>
    <w:rsid w:val="007E2FE6"/>
    <w:rsid w:val="007E34DA"/>
    <w:rsid w:val="007E3647"/>
    <w:rsid w:val="007E44FD"/>
    <w:rsid w:val="007E480F"/>
    <w:rsid w:val="007E51D3"/>
    <w:rsid w:val="007E5475"/>
    <w:rsid w:val="007E58D9"/>
    <w:rsid w:val="007E5C72"/>
    <w:rsid w:val="007E6152"/>
    <w:rsid w:val="007E6374"/>
    <w:rsid w:val="007E6667"/>
    <w:rsid w:val="007E6EC1"/>
    <w:rsid w:val="007E78BF"/>
    <w:rsid w:val="007F1740"/>
    <w:rsid w:val="007F1A39"/>
    <w:rsid w:val="007F218B"/>
    <w:rsid w:val="007F21AD"/>
    <w:rsid w:val="007F229B"/>
    <w:rsid w:val="007F2780"/>
    <w:rsid w:val="007F2D2E"/>
    <w:rsid w:val="007F418B"/>
    <w:rsid w:val="007F4AB0"/>
    <w:rsid w:val="007F4B74"/>
    <w:rsid w:val="007F5413"/>
    <w:rsid w:val="007F6CD3"/>
    <w:rsid w:val="007F7558"/>
    <w:rsid w:val="0080019D"/>
    <w:rsid w:val="0080019F"/>
    <w:rsid w:val="008005DF"/>
    <w:rsid w:val="00800BDE"/>
    <w:rsid w:val="00800CB1"/>
    <w:rsid w:val="00801858"/>
    <w:rsid w:val="008033FA"/>
    <w:rsid w:val="00804172"/>
    <w:rsid w:val="00804179"/>
    <w:rsid w:val="00805E45"/>
    <w:rsid w:val="00806068"/>
    <w:rsid w:val="0080609D"/>
    <w:rsid w:val="0080701B"/>
    <w:rsid w:val="00807089"/>
    <w:rsid w:val="00807B2D"/>
    <w:rsid w:val="00810200"/>
    <w:rsid w:val="00810C1F"/>
    <w:rsid w:val="00811262"/>
    <w:rsid w:val="00811FE6"/>
    <w:rsid w:val="00812084"/>
    <w:rsid w:val="008121C8"/>
    <w:rsid w:val="008129CF"/>
    <w:rsid w:val="00812E06"/>
    <w:rsid w:val="00813A0D"/>
    <w:rsid w:val="008144BC"/>
    <w:rsid w:val="00815009"/>
    <w:rsid w:val="008150CB"/>
    <w:rsid w:val="00815A5E"/>
    <w:rsid w:val="00815CBC"/>
    <w:rsid w:val="00815EB8"/>
    <w:rsid w:val="00816696"/>
    <w:rsid w:val="008166BC"/>
    <w:rsid w:val="0081741A"/>
    <w:rsid w:val="008175D5"/>
    <w:rsid w:val="008200B7"/>
    <w:rsid w:val="00821A82"/>
    <w:rsid w:val="00821AFF"/>
    <w:rsid w:val="008225F0"/>
    <w:rsid w:val="00823316"/>
    <w:rsid w:val="00823B06"/>
    <w:rsid w:val="00824BBE"/>
    <w:rsid w:val="00824D05"/>
    <w:rsid w:val="008253C5"/>
    <w:rsid w:val="00825F83"/>
    <w:rsid w:val="008265FD"/>
    <w:rsid w:val="0082701C"/>
    <w:rsid w:val="00827445"/>
    <w:rsid w:val="00827759"/>
    <w:rsid w:val="008277BD"/>
    <w:rsid w:val="00827BF0"/>
    <w:rsid w:val="00827DF0"/>
    <w:rsid w:val="00830125"/>
    <w:rsid w:val="0083027C"/>
    <w:rsid w:val="0083071A"/>
    <w:rsid w:val="00830B9C"/>
    <w:rsid w:val="00830FB2"/>
    <w:rsid w:val="008313D5"/>
    <w:rsid w:val="00831642"/>
    <w:rsid w:val="008318DF"/>
    <w:rsid w:val="00831F64"/>
    <w:rsid w:val="00832697"/>
    <w:rsid w:val="00832FFD"/>
    <w:rsid w:val="00833593"/>
    <w:rsid w:val="00833861"/>
    <w:rsid w:val="00834361"/>
    <w:rsid w:val="00835E16"/>
    <w:rsid w:val="00836B17"/>
    <w:rsid w:val="00836E60"/>
    <w:rsid w:val="008379B6"/>
    <w:rsid w:val="00837FAA"/>
    <w:rsid w:val="008400C0"/>
    <w:rsid w:val="00840E16"/>
    <w:rsid w:val="0084106A"/>
    <w:rsid w:val="008411D2"/>
    <w:rsid w:val="008414C5"/>
    <w:rsid w:val="00841554"/>
    <w:rsid w:val="0084197A"/>
    <w:rsid w:val="00842242"/>
    <w:rsid w:val="00842D9A"/>
    <w:rsid w:val="008434FC"/>
    <w:rsid w:val="00843BF9"/>
    <w:rsid w:val="0084492F"/>
    <w:rsid w:val="00844A4C"/>
    <w:rsid w:val="0084552F"/>
    <w:rsid w:val="008458E3"/>
    <w:rsid w:val="00845A3A"/>
    <w:rsid w:val="00845C2E"/>
    <w:rsid w:val="00845EAA"/>
    <w:rsid w:val="00846245"/>
    <w:rsid w:val="008472B0"/>
    <w:rsid w:val="00847C18"/>
    <w:rsid w:val="008509A2"/>
    <w:rsid w:val="00851306"/>
    <w:rsid w:val="00851BEB"/>
    <w:rsid w:val="00852144"/>
    <w:rsid w:val="008527C3"/>
    <w:rsid w:val="00853610"/>
    <w:rsid w:val="00854768"/>
    <w:rsid w:val="008550D8"/>
    <w:rsid w:val="00855D4E"/>
    <w:rsid w:val="0085668C"/>
    <w:rsid w:val="00857133"/>
    <w:rsid w:val="008575F1"/>
    <w:rsid w:val="00860197"/>
    <w:rsid w:val="00860304"/>
    <w:rsid w:val="008612C0"/>
    <w:rsid w:val="00861BCF"/>
    <w:rsid w:val="00861D6D"/>
    <w:rsid w:val="0086294E"/>
    <w:rsid w:val="00862F62"/>
    <w:rsid w:val="00863BE2"/>
    <w:rsid w:val="00863EA1"/>
    <w:rsid w:val="00864561"/>
    <w:rsid w:val="008648AB"/>
    <w:rsid w:val="0086517F"/>
    <w:rsid w:val="0086551D"/>
    <w:rsid w:val="00865C4A"/>
    <w:rsid w:val="00866523"/>
    <w:rsid w:val="00867C4A"/>
    <w:rsid w:val="00870193"/>
    <w:rsid w:val="008702A7"/>
    <w:rsid w:val="0087039F"/>
    <w:rsid w:val="0087111C"/>
    <w:rsid w:val="008717AC"/>
    <w:rsid w:val="00871D90"/>
    <w:rsid w:val="00872BB4"/>
    <w:rsid w:val="00872D87"/>
    <w:rsid w:val="0087358F"/>
    <w:rsid w:val="00873B51"/>
    <w:rsid w:val="008744F3"/>
    <w:rsid w:val="008749E2"/>
    <w:rsid w:val="00874ACE"/>
    <w:rsid w:val="008754BE"/>
    <w:rsid w:val="00876318"/>
    <w:rsid w:val="00876961"/>
    <w:rsid w:val="00877FC3"/>
    <w:rsid w:val="00880588"/>
    <w:rsid w:val="00881131"/>
    <w:rsid w:val="008814EB"/>
    <w:rsid w:val="00881D71"/>
    <w:rsid w:val="00883AD8"/>
    <w:rsid w:val="008847A9"/>
    <w:rsid w:val="00885032"/>
    <w:rsid w:val="008850EB"/>
    <w:rsid w:val="008856E3"/>
    <w:rsid w:val="0088596A"/>
    <w:rsid w:val="00885D6E"/>
    <w:rsid w:val="008866FD"/>
    <w:rsid w:val="008869F9"/>
    <w:rsid w:val="00887BB5"/>
    <w:rsid w:val="00887C68"/>
    <w:rsid w:val="00887E3E"/>
    <w:rsid w:val="00887F5C"/>
    <w:rsid w:val="00887FB4"/>
    <w:rsid w:val="00890605"/>
    <w:rsid w:val="0089089F"/>
    <w:rsid w:val="00890CA8"/>
    <w:rsid w:val="00890F0B"/>
    <w:rsid w:val="008916AD"/>
    <w:rsid w:val="00892CEE"/>
    <w:rsid w:val="00893079"/>
    <w:rsid w:val="0089384B"/>
    <w:rsid w:val="008941F3"/>
    <w:rsid w:val="008942F0"/>
    <w:rsid w:val="008951D5"/>
    <w:rsid w:val="008953BD"/>
    <w:rsid w:val="008959D8"/>
    <w:rsid w:val="00895DD5"/>
    <w:rsid w:val="0089788E"/>
    <w:rsid w:val="008A1B53"/>
    <w:rsid w:val="008A3A0D"/>
    <w:rsid w:val="008A48D2"/>
    <w:rsid w:val="008A4F7C"/>
    <w:rsid w:val="008A52D6"/>
    <w:rsid w:val="008A6DEC"/>
    <w:rsid w:val="008A70EC"/>
    <w:rsid w:val="008A797D"/>
    <w:rsid w:val="008A79DD"/>
    <w:rsid w:val="008B02C2"/>
    <w:rsid w:val="008B09F6"/>
    <w:rsid w:val="008B0ADF"/>
    <w:rsid w:val="008B0EC4"/>
    <w:rsid w:val="008B1390"/>
    <w:rsid w:val="008B1676"/>
    <w:rsid w:val="008B19A8"/>
    <w:rsid w:val="008B1A6E"/>
    <w:rsid w:val="008B1AA6"/>
    <w:rsid w:val="008B1C34"/>
    <w:rsid w:val="008B1DB0"/>
    <w:rsid w:val="008B25E6"/>
    <w:rsid w:val="008B2606"/>
    <w:rsid w:val="008B2BA5"/>
    <w:rsid w:val="008B33D9"/>
    <w:rsid w:val="008B36E6"/>
    <w:rsid w:val="008B3FCD"/>
    <w:rsid w:val="008B448F"/>
    <w:rsid w:val="008B5405"/>
    <w:rsid w:val="008B54EC"/>
    <w:rsid w:val="008B5642"/>
    <w:rsid w:val="008B5F4A"/>
    <w:rsid w:val="008B6E25"/>
    <w:rsid w:val="008B723A"/>
    <w:rsid w:val="008B7931"/>
    <w:rsid w:val="008C01B4"/>
    <w:rsid w:val="008C02FC"/>
    <w:rsid w:val="008C0882"/>
    <w:rsid w:val="008C0ABE"/>
    <w:rsid w:val="008C0D40"/>
    <w:rsid w:val="008C0EAF"/>
    <w:rsid w:val="008C22ED"/>
    <w:rsid w:val="008C234B"/>
    <w:rsid w:val="008C2C65"/>
    <w:rsid w:val="008C3291"/>
    <w:rsid w:val="008C39CF"/>
    <w:rsid w:val="008C3B65"/>
    <w:rsid w:val="008C3BF7"/>
    <w:rsid w:val="008C3C16"/>
    <w:rsid w:val="008C47F6"/>
    <w:rsid w:val="008C4BC1"/>
    <w:rsid w:val="008C6DC6"/>
    <w:rsid w:val="008C7508"/>
    <w:rsid w:val="008D0283"/>
    <w:rsid w:val="008D07D8"/>
    <w:rsid w:val="008D1068"/>
    <w:rsid w:val="008D1411"/>
    <w:rsid w:val="008D144C"/>
    <w:rsid w:val="008D1A51"/>
    <w:rsid w:val="008D21A1"/>
    <w:rsid w:val="008D2D6D"/>
    <w:rsid w:val="008D3257"/>
    <w:rsid w:val="008D3294"/>
    <w:rsid w:val="008D395F"/>
    <w:rsid w:val="008D4380"/>
    <w:rsid w:val="008D4507"/>
    <w:rsid w:val="008D4676"/>
    <w:rsid w:val="008D4DD8"/>
    <w:rsid w:val="008D4FF1"/>
    <w:rsid w:val="008D5299"/>
    <w:rsid w:val="008D5FFF"/>
    <w:rsid w:val="008D6C5E"/>
    <w:rsid w:val="008D740D"/>
    <w:rsid w:val="008D74DF"/>
    <w:rsid w:val="008D7721"/>
    <w:rsid w:val="008D7A67"/>
    <w:rsid w:val="008E03C5"/>
    <w:rsid w:val="008E0BE3"/>
    <w:rsid w:val="008E0EC2"/>
    <w:rsid w:val="008E2205"/>
    <w:rsid w:val="008E2250"/>
    <w:rsid w:val="008E2252"/>
    <w:rsid w:val="008E2311"/>
    <w:rsid w:val="008E261C"/>
    <w:rsid w:val="008E2839"/>
    <w:rsid w:val="008E322C"/>
    <w:rsid w:val="008E4010"/>
    <w:rsid w:val="008E4FC2"/>
    <w:rsid w:val="008E560A"/>
    <w:rsid w:val="008E608F"/>
    <w:rsid w:val="008E65EF"/>
    <w:rsid w:val="008E6F90"/>
    <w:rsid w:val="008E75FB"/>
    <w:rsid w:val="008E7AB1"/>
    <w:rsid w:val="008E7DDC"/>
    <w:rsid w:val="008F0BEC"/>
    <w:rsid w:val="008F27FC"/>
    <w:rsid w:val="008F2BB2"/>
    <w:rsid w:val="008F378A"/>
    <w:rsid w:val="008F44D7"/>
    <w:rsid w:val="008F51E5"/>
    <w:rsid w:val="008F5EDB"/>
    <w:rsid w:val="008F62C0"/>
    <w:rsid w:val="008F6A9D"/>
    <w:rsid w:val="008F6B5F"/>
    <w:rsid w:val="008F6D0F"/>
    <w:rsid w:val="008F6DA1"/>
    <w:rsid w:val="008F79F0"/>
    <w:rsid w:val="008F7CBC"/>
    <w:rsid w:val="00900200"/>
    <w:rsid w:val="00900852"/>
    <w:rsid w:val="00900C6B"/>
    <w:rsid w:val="00902225"/>
    <w:rsid w:val="00902510"/>
    <w:rsid w:val="00902DA2"/>
    <w:rsid w:val="009046F3"/>
    <w:rsid w:val="00905674"/>
    <w:rsid w:val="00905FAA"/>
    <w:rsid w:val="00906417"/>
    <w:rsid w:val="009068E3"/>
    <w:rsid w:val="0090756B"/>
    <w:rsid w:val="00910CB8"/>
    <w:rsid w:val="00911334"/>
    <w:rsid w:val="009116D7"/>
    <w:rsid w:val="00911A94"/>
    <w:rsid w:val="009121E1"/>
    <w:rsid w:val="00912D88"/>
    <w:rsid w:val="00912F6E"/>
    <w:rsid w:val="009135CA"/>
    <w:rsid w:val="0091398C"/>
    <w:rsid w:val="00913A5B"/>
    <w:rsid w:val="009140BB"/>
    <w:rsid w:val="009165FD"/>
    <w:rsid w:val="00917473"/>
    <w:rsid w:val="00920974"/>
    <w:rsid w:val="00921E63"/>
    <w:rsid w:val="00922141"/>
    <w:rsid w:val="0092234C"/>
    <w:rsid w:val="009224FB"/>
    <w:rsid w:val="009231EA"/>
    <w:rsid w:val="00923ACF"/>
    <w:rsid w:val="00923D5B"/>
    <w:rsid w:val="00923FFF"/>
    <w:rsid w:val="00924467"/>
    <w:rsid w:val="00924624"/>
    <w:rsid w:val="00926380"/>
    <w:rsid w:val="009266B6"/>
    <w:rsid w:val="00926911"/>
    <w:rsid w:val="00926B55"/>
    <w:rsid w:val="009273BE"/>
    <w:rsid w:val="009276E0"/>
    <w:rsid w:val="00927EE3"/>
    <w:rsid w:val="00930719"/>
    <w:rsid w:val="00930F05"/>
    <w:rsid w:val="00931D99"/>
    <w:rsid w:val="00932405"/>
    <w:rsid w:val="00932B5C"/>
    <w:rsid w:val="009335D0"/>
    <w:rsid w:val="00933823"/>
    <w:rsid w:val="00933B7D"/>
    <w:rsid w:val="009343FD"/>
    <w:rsid w:val="00934536"/>
    <w:rsid w:val="00934980"/>
    <w:rsid w:val="0093578C"/>
    <w:rsid w:val="009359CA"/>
    <w:rsid w:val="00935EEF"/>
    <w:rsid w:val="00935F03"/>
    <w:rsid w:val="0093616B"/>
    <w:rsid w:val="00940802"/>
    <w:rsid w:val="00940F2E"/>
    <w:rsid w:val="009427D0"/>
    <w:rsid w:val="00942DD3"/>
    <w:rsid w:val="0094326A"/>
    <w:rsid w:val="00943359"/>
    <w:rsid w:val="009438F7"/>
    <w:rsid w:val="00944073"/>
    <w:rsid w:val="00944558"/>
    <w:rsid w:val="00944640"/>
    <w:rsid w:val="0094490F"/>
    <w:rsid w:val="00944A7D"/>
    <w:rsid w:val="00944D11"/>
    <w:rsid w:val="00944E52"/>
    <w:rsid w:val="009458B3"/>
    <w:rsid w:val="00945901"/>
    <w:rsid w:val="00945AFA"/>
    <w:rsid w:val="00945C25"/>
    <w:rsid w:val="00945E4E"/>
    <w:rsid w:val="00945F00"/>
    <w:rsid w:val="00945F7B"/>
    <w:rsid w:val="00946AB6"/>
    <w:rsid w:val="00946FB2"/>
    <w:rsid w:val="00947389"/>
    <w:rsid w:val="009500FB"/>
    <w:rsid w:val="00950B85"/>
    <w:rsid w:val="00951719"/>
    <w:rsid w:val="00951A91"/>
    <w:rsid w:val="00951B2E"/>
    <w:rsid w:val="00951F97"/>
    <w:rsid w:val="00952067"/>
    <w:rsid w:val="00952AD2"/>
    <w:rsid w:val="00952EF0"/>
    <w:rsid w:val="00953061"/>
    <w:rsid w:val="00953A20"/>
    <w:rsid w:val="009542B8"/>
    <w:rsid w:val="00954699"/>
    <w:rsid w:val="009562FD"/>
    <w:rsid w:val="00957984"/>
    <w:rsid w:val="009602C8"/>
    <w:rsid w:val="00960833"/>
    <w:rsid w:val="0096093B"/>
    <w:rsid w:val="0096141C"/>
    <w:rsid w:val="00962249"/>
    <w:rsid w:val="00962EBF"/>
    <w:rsid w:val="00963080"/>
    <w:rsid w:val="00963CE4"/>
    <w:rsid w:val="0096413F"/>
    <w:rsid w:val="00964C66"/>
    <w:rsid w:val="009655EE"/>
    <w:rsid w:val="009656E8"/>
    <w:rsid w:val="00966288"/>
    <w:rsid w:val="009664BE"/>
    <w:rsid w:val="009665A0"/>
    <w:rsid w:val="0096669D"/>
    <w:rsid w:val="00966E0B"/>
    <w:rsid w:val="00970AA5"/>
    <w:rsid w:val="00970B67"/>
    <w:rsid w:val="0097114B"/>
    <w:rsid w:val="0097148F"/>
    <w:rsid w:val="00971645"/>
    <w:rsid w:val="009719D6"/>
    <w:rsid w:val="00971AE6"/>
    <w:rsid w:val="00971C07"/>
    <w:rsid w:val="00973516"/>
    <w:rsid w:val="0097388E"/>
    <w:rsid w:val="009742BF"/>
    <w:rsid w:val="00974800"/>
    <w:rsid w:val="00974BEA"/>
    <w:rsid w:val="00974F22"/>
    <w:rsid w:val="009755E3"/>
    <w:rsid w:val="00975A1E"/>
    <w:rsid w:val="00975FEE"/>
    <w:rsid w:val="0097605F"/>
    <w:rsid w:val="0097696F"/>
    <w:rsid w:val="00976A87"/>
    <w:rsid w:val="00976C36"/>
    <w:rsid w:val="00977E5A"/>
    <w:rsid w:val="00980356"/>
    <w:rsid w:val="0098151F"/>
    <w:rsid w:val="00983E1E"/>
    <w:rsid w:val="0098500F"/>
    <w:rsid w:val="0098516F"/>
    <w:rsid w:val="00985DB2"/>
    <w:rsid w:val="00985F98"/>
    <w:rsid w:val="009870EA"/>
    <w:rsid w:val="0098722B"/>
    <w:rsid w:val="0098731A"/>
    <w:rsid w:val="009876CE"/>
    <w:rsid w:val="00987A5D"/>
    <w:rsid w:val="00990119"/>
    <w:rsid w:val="009906A8"/>
    <w:rsid w:val="00991410"/>
    <w:rsid w:val="00991BFE"/>
    <w:rsid w:val="009921CD"/>
    <w:rsid w:val="009923D1"/>
    <w:rsid w:val="009928D6"/>
    <w:rsid w:val="00992BDB"/>
    <w:rsid w:val="009935BA"/>
    <w:rsid w:val="009941C4"/>
    <w:rsid w:val="0099424A"/>
    <w:rsid w:val="00994895"/>
    <w:rsid w:val="0099590B"/>
    <w:rsid w:val="00995952"/>
    <w:rsid w:val="00995B88"/>
    <w:rsid w:val="00996EFD"/>
    <w:rsid w:val="00997932"/>
    <w:rsid w:val="009A0791"/>
    <w:rsid w:val="009A12E8"/>
    <w:rsid w:val="009A1953"/>
    <w:rsid w:val="009A1AAB"/>
    <w:rsid w:val="009A3328"/>
    <w:rsid w:val="009A397F"/>
    <w:rsid w:val="009A5097"/>
    <w:rsid w:val="009A5573"/>
    <w:rsid w:val="009A6638"/>
    <w:rsid w:val="009A69DA"/>
    <w:rsid w:val="009A7EB3"/>
    <w:rsid w:val="009A7FFD"/>
    <w:rsid w:val="009B06A3"/>
    <w:rsid w:val="009B22BC"/>
    <w:rsid w:val="009B25CF"/>
    <w:rsid w:val="009B28F0"/>
    <w:rsid w:val="009B3E8F"/>
    <w:rsid w:val="009B4F70"/>
    <w:rsid w:val="009B53AC"/>
    <w:rsid w:val="009B66FC"/>
    <w:rsid w:val="009B6B3C"/>
    <w:rsid w:val="009B6CAD"/>
    <w:rsid w:val="009B78A3"/>
    <w:rsid w:val="009B7D85"/>
    <w:rsid w:val="009C03F6"/>
    <w:rsid w:val="009C0799"/>
    <w:rsid w:val="009C11D0"/>
    <w:rsid w:val="009C1433"/>
    <w:rsid w:val="009C146F"/>
    <w:rsid w:val="009C1C63"/>
    <w:rsid w:val="009C2760"/>
    <w:rsid w:val="009C2B9F"/>
    <w:rsid w:val="009C3021"/>
    <w:rsid w:val="009C33C4"/>
    <w:rsid w:val="009C3442"/>
    <w:rsid w:val="009C3700"/>
    <w:rsid w:val="009C3AB0"/>
    <w:rsid w:val="009C404C"/>
    <w:rsid w:val="009C427F"/>
    <w:rsid w:val="009C4851"/>
    <w:rsid w:val="009C4A55"/>
    <w:rsid w:val="009C4B57"/>
    <w:rsid w:val="009C59C3"/>
    <w:rsid w:val="009C5D28"/>
    <w:rsid w:val="009C6823"/>
    <w:rsid w:val="009C6A5C"/>
    <w:rsid w:val="009C712A"/>
    <w:rsid w:val="009D00AB"/>
    <w:rsid w:val="009D022F"/>
    <w:rsid w:val="009D0590"/>
    <w:rsid w:val="009D08E6"/>
    <w:rsid w:val="009D171E"/>
    <w:rsid w:val="009D1B3A"/>
    <w:rsid w:val="009D20E6"/>
    <w:rsid w:val="009D2B05"/>
    <w:rsid w:val="009D2E38"/>
    <w:rsid w:val="009D3E53"/>
    <w:rsid w:val="009D4292"/>
    <w:rsid w:val="009D470F"/>
    <w:rsid w:val="009D4C42"/>
    <w:rsid w:val="009D4F01"/>
    <w:rsid w:val="009D5427"/>
    <w:rsid w:val="009D6A0B"/>
    <w:rsid w:val="009D6B8E"/>
    <w:rsid w:val="009D6E14"/>
    <w:rsid w:val="009D7A11"/>
    <w:rsid w:val="009D7FF3"/>
    <w:rsid w:val="009E0268"/>
    <w:rsid w:val="009E04AA"/>
    <w:rsid w:val="009E0618"/>
    <w:rsid w:val="009E06BC"/>
    <w:rsid w:val="009E1CAE"/>
    <w:rsid w:val="009E2189"/>
    <w:rsid w:val="009E2A33"/>
    <w:rsid w:val="009E3021"/>
    <w:rsid w:val="009E3587"/>
    <w:rsid w:val="009E3FB5"/>
    <w:rsid w:val="009E4126"/>
    <w:rsid w:val="009E4212"/>
    <w:rsid w:val="009E4441"/>
    <w:rsid w:val="009E57B1"/>
    <w:rsid w:val="009E5BA0"/>
    <w:rsid w:val="009E5CBE"/>
    <w:rsid w:val="009E6A80"/>
    <w:rsid w:val="009E6E9D"/>
    <w:rsid w:val="009E7147"/>
    <w:rsid w:val="009E7801"/>
    <w:rsid w:val="009E7F3D"/>
    <w:rsid w:val="009F010C"/>
    <w:rsid w:val="009F036E"/>
    <w:rsid w:val="009F08A3"/>
    <w:rsid w:val="009F0B4D"/>
    <w:rsid w:val="009F129D"/>
    <w:rsid w:val="009F19F2"/>
    <w:rsid w:val="009F2CEC"/>
    <w:rsid w:val="009F3101"/>
    <w:rsid w:val="009F38A0"/>
    <w:rsid w:val="009F40C5"/>
    <w:rsid w:val="009F4535"/>
    <w:rsid w:val="009F57A1"/>
    <w:rsid w:val="009F57EF"/>
    <w:rsid w:val="009F69B2"/>
    <w:rsid w:val="009F6DCF"/>
    <w:rsid w:val="009F7DE3"/>
    <w:rsid w:val="009F7FFC"/>
    <w:rsid w:val="00A0055E"/>
    <w:rsid w:val="00A00978"/>
    <w:rsid w:val="00A00B85"/>
    <w:rsid w:val="00A00BAB"/>
    <w:rsid w:val="00A02349"/>
    <w:rsid w:val="00A02721"/>
    <w:rsid w:val="00A02825"/>
    <w:rsid w:val="00A02B9A"/>
    <w:rsid w:val="00A02BF3"/>
    <w:rsid w:val="00A035F8"/>
    <w:rsid w:val="00A03833"/>
    <w:rsid w:val="00A04B98"/>
    <w:rsid w:val="00A04BDF"/>
    <w:rsid w:val="00A04C02"/>
    <w:rsid w:val="00A04EC3"/>
    <w:rsid w:val="00A05574"/>
    <w:rsid w:val="00A0590D"/>
    <w:rsid w:val="00A05A8E"/>
    <w:rsid w:val="00A063C4"/>
    <w:rsid w:val="00A07154"/>
    <w:rsid w:val="00A078BC"/>
    <w:rsid w:val="00A11816"/>
    <w:rsid w:val="00A119B6"/>
    <w:rsid w:val="00A12665"/>
    <w:rsid w:val="00A1294E"/>
    <w:rsid w:val="00A12A40"/>
    <w:rsid w:val="00A13198"/>
    <w:rsid w:val="00A13466"/>
    <w:rsid w:val="00A13799"/>
    <w:rsid w:val="00A13D4B"/>
    <w:rsid w:val="00A151AC"/>
    <w:rsid w:val="00A158C8"/>
    <w:rsid w:val="00A15B07"/>
    <w:rsid w:val="00A16720"/>
    <w:rsid w:val="00A176CB"/>
    <w:rsid w:val="00A17950"/>
    <w:rsid w:val="00A179D5"/>
    <w:rsid w:val="00A17A61"/>
    <w:rsid w:val="00A17BF8"/>
    <w:rsid w:val="00A17DDE"/>
    <w:rsid w:val="00A202DB"/>
    <w:rsid w:val="00A20996"/>
    <w:rsid w:val="00A21650"/>
    <w:rsid w:val="00A2199E"/>
    <w:rsid w:val="00A21B1C"/>
    <w:rsid w:val="00A21EC9"/>
    <w:rsid w:val="00A247EB"/>
    <w:rsid w:val="00A24886"/>
    <w:rsid w:val="00A24B9F"/>
    <w:rsid w:val="00A25AEC"/>
    <w:rsid w:val="00A25B54"/>
    <w:rsid w:val="00A26235"/>
    <w:rsid w:val="00A26EBE"/>
    <w:rsid w:val="00A275D5"/>
    <w:rsid w:val="00A27A2A"/>
    <w:rsid w:val="00A308EF"/>
    <w:rsid w:val="00A30EAA"/>
    <w:rsid w:val="00A310B2"/>
    <w:rsid w:val="00A319C4"/>
    <w:rsid w:val="00A31E4F"/>
    <w:rsid w:val="00A31EB4"/>
    <w:rsid w:val="00A324AE"/>
    <w:rsid w:val="00A32F9C"/>
    <w:rsid w:val="00A3361D"/>
    <w:rsid w:val="00A339CF"/>
    <w:rsid w:val="00A35DD7"/>
    <w:rsid w:val="00A35EE9"/>
    <w:rsid w:val="00A37601"/>
    <w:rsid w:val="00A37A6E"/>
    <w:rsid w:val="00A40B49"/>
    <w:rsid w:val="00A40FAB"/>
    <w:rsid w:val="00A4107A"/>
    <w:rsid w:val="00A41285"/>
    <w:rsid w:val="00A419D0"/>
    <w:rsid w:val="00A41DFE"/>
    <w:rsid w:val="00A42A18"/>
    <w:rsid w:val="00A42F6D"/>
    <w:rsid w:val="00A432B7"/>
    <w:rsid w:val="00A43346"/>
    <w:rsid w:val="00A438D0"/>
    <w:rsid w:val="00A44985"/>
    <w:rsid w:val="00A462A3"/>
    <w:rsid w:val="00A4675F"/>
    <w:rsid w:val="00A4781F"/>
    <w:rsid w:val="00A479A1"/>
    <w:rsid w:val="00A50AD0"/>
    <w:rsid w:val="00A50CE5"/>
    <w:rsid w:val="00A51368"/>
    <w:rsid w:val="00A517ED"/>
    <w:rsid w:val="00A51B0A"/>
    <w:rsid w:val="00A52684"/>
    <w:rsid w:val="00A52A1B"/>
    <w:rsid w:val="00A538FC"/>
    <w:rsid w:val="00A53DAB"/>
    <w:rsid w:val="00A5415E"/>
    <w:rsid w:val="00A55439"/>
    <w:rsid w:val="00A55B25"/>
    <w:rsid w:val="00A56604"/>
    <w:rsid w:val="00A569B5"/>
    <w:rsid w:val="00A56D5A"/>
    <w:rsid w:val="00A571A0"/>
    <w:rsid w:val="00A60053"/>
    <w:rsid w:val="00A606A5"/>
    <w:rsid w:val="00A60D12"/>
    <w:rsid w:val="00A61482"/>
    <w:rsid w:val="00A6150D"/>
    <w:rsid w:val="00A61623"/>
    <w:rsid w:val="00A617FF"/>
    <w:rsid w:val="00A61880"/>
    <w:rsid w:val="00A61C7E"/>
    <w:rsid w:val="00A62B11"/>
    <w:rsid w:val="00A62E42"/>
    <w:rsid w:val="00A634DE"/>
    <w:rsid w:val="00A6478C"/>
    <w:rsid w:val="00A647E2"/>
    <w:rsid w:val="00A651AE"/>
    <w:rsid w:val="00A6587A"/>
    <w:rsid w:val="00A66B60"/>
    <w:rsid w:val="00A66D34"/>
    <w:rsid w:val="00A6741C"/>
    <w:rsid w:val="00A67D1C"/>
    <w:rsid w:val="00A70340"/>
    <w:rsid w:val="00A70426"/>
    <w:rsid w:val="00A707F4"/>
    <w:rsid w:val="00A70D5B"/>
    <w:rsid w:val="00A7137B"/>
    <w:rsid w:val="00A71593"/>
    <w:rsid w:val="00A72902"/>
    <w:rsid w:val="00A737DD"/>
    <w:rsid w:val="00A73D21"/>
    <w:rsid w:val="00A73DBF"/>
    <w:rsid w:val="00A73E90"/>
    <w:rsid w:val="00A74FBF"/>
    <w:rsid w:val="00A75C87"/>
    <w:rsid w:val="00A763B8"/>
    <w:rsid w:val="00A77C11"/>
    <w:rsid w:val="00A77F85"/>
    <w:rsid w:val="00A77FC6"/>
    <w:rsid w:val="00A8005B"/>
    <w:rsid w:val="00A806D7"/>
    <w:rsid w:val="00A8135D"/>
    <w:rsid w:val="00A817F8"/>
    <w:rsid w:val="00A818FA"/>
    <w:rsid w:val="00A81EA3"/>
    <w:rsid w:val="00A8222B"/>
    <w:rsid w:val="00A8266A"/>
    <w:rsid w:val="00A82A3B"/>
    <w:rsid w:val="00A82D57"/>
    <w:rsid w:val="00A83073"/>
    <w:rsid w:val="00A83347"/>
    <w:rsid w:val="00A8360F"/>
    <w:rsid w:val="00A8368C"/>
    <w:rsid w:val="00A83955"/>
    <w:rsid w:val="00A83B35"/>
    <w:rsid w:val="00A84F6C"/>
    <w:rsid w:val="00A8538B"/>
    <w:rsid w:val="00A85526"/>
    <w:rsid w:val="00A85E3F"/>
    <w:rsid w:val="00A868BA"/>
    <w:rsid w:val="00A86C9E"/>
    <w:rsid w:val="00A86EBD"/>
    <w:rsid w:val="00A8753E"/>
    <w:rsid w:val="00A87C9C"/>
    <w:rsid w:val="00A90143"/>
    <w:rsid w:val="00A90898"/>
    <w:rsid w:val="00A90DEB"/>
    <w:rsid w:val="00A91D21"/>
    <w:rsid w:val="00A924D1"/>
    <w:rsid w:val="00A92806"/>
    <w:rsid w:val="00A92CD3"/>
    <w:rsid w:val="00A94124"/>
    <w:rsid w:val="00A94189"/>
    <w:rsid w:val="00A943EA"/>
    <w:rsid w:val="00A94783"/>
    <w:rsid w:val="00A94811"/>
    <w:rsid w:val="00A953F8"/>
    <w:rsid w:val="00A9553C"/>
    <w:rsid w:val="00A95579"/>
    <w:rsid w:val="00A956EF"/>
    <w:rsid w:val="00A95903"/>
    <w:rsid w:val="00A95E57"/>
    <w:rsid w:val="00A96857"/>
    <w:rsid w:val="00A96E0F"/>
    <w:rsid w:val="00A973F3"/>
    <w:rsid w:val="00A97AF3"/>
    <w:rsid w:val="00A97BA0"/>
    <w:rsid w:val="00AA00AA"/>
    <w:rsid w:val="00AA0AD0"/>
    <w:rsid w:val="00AA0EDB"/>
    <w:rsid w:val="00AA19CC"/>
    <w:rsid w:val="00AA19E9"/>
    <w:rsid w:val="00AA1D5A"/>
    <w:rsid w:val="00AA21AC"/>
    <w:rsid w:val="00AA2260"/>
    <w:rsid w:val="00AA2786"/>
    <w:rsid w:val="00AA2E04"/>
    <w:rsid w:val="00AA31AA"/>
    <w:rsid w:val="00AA360D"/>
    <w:rsid w:val="00AA36C2"/>
    <w:rsid w:val="00AA5453"/>
    <w:rsid w:val="00AA5E25"/>
    <w:rsid w:val="00AA5E37"/>
    <w:rsid w:val="00AA5F48"/>
    <w:rsid w:val="00AA6ACA"/>
    <w:rsid w:val="00AA75F9"/>
    <w:rsid w:val="00AA7628"/>
    <w:rsid w:val="00AA767C"/>
    <w:rsid w:val="00AA7F77"/>
    <w:rsid w:val="00AB0474"/>
    <w:rsid w:val="00AB09A6"/>
    <w:rsid w:val="00AB1609"/>
    <w:rsid w:val="00AB18A3"/>
    <w:rsid w:val="00AB1BA9"/>
    <w:rsid w:val="00AB1E5C"/>
    <w:rsid w:val="00AB1FC9"/>
    <w:rsid w:val="00AB2611"/>
    <w:rsid w:val="00AB41E1"/>
    <w:rsid w:val="00AB445C"/>
    <w:rsid w:val="00AB4E5D"/>
    <w:rsid w:val="00AB53D0"/>
    <w:rsid w:val="00AB558B"/>
    <w:rsid w:val="00AB7208"/>
    <w:rsid w:val="00AB72B8"/>
    <w:rsid w:val="00AB7862"/>
    <w:rsid w:val="00AB7B65"/>
    <w:rsid w:val="00AC0345"/>
    <w:rsid w:val="00AC0E43"/>
    <w:rsid w:val="00AC109E"/>
    <w:rsid w:val="00AC1129"/>
    <w:rsid w:val="00AC11C4"/>
    <w:rsid w:val="00AC1FE2"/>
    <w:rsid w:val="00AC3154"/>
    <w:rsid w:val="00AC3A25"/>
    <w:rsid w:val="00AC3A37"/>
    <w:rsid w:val="00AC3C0F"/>
    <w:rsid w:val="00AC3CB4"/>
    <w:rsid w:val="00AC4DBA"/>
    <w:rsid w:val="00AC523F"/>
    <w:rsid w:val="00AC5388"/>
    <w:rsid w:val="00AC5B33"/>
    <w:rsid w:val="00AC62DE"/>
    <w:rsid w:val="00AC65FC"/>
    <w:rsid w:val="00AC6930"/>
    <w:rsid w:val="00AC7A1A"/>
    <w:rsid w:val="00AC7D55"/>
    <w:rsid w:val="00AC7EE7"/>
    <w:rsid w:val="00AD0126"/>
    <w:rsid w:val="00AD18AE"/>
    <w:rsid w:val="00AD1D3F"/>
    <w:rsid w:val="00AD2046"/>
    <w:rsid w:val="00AD21E9"/>
    <w:rsid w:val="00AD249A"/>
    <w:rsid w:val="00AD2567"/>
    <w:rsid w:val="00AD3299"/>
    <w:rsid w:val="00AD35E7"/>
    <w:rsid w:val="00AD418B"/>
    <w:rsid w:val="00AD438A"/>
    <w:rsid w:val="00AD4532"/>
    <w:rsid w:val="00AD4622"/>
    <w:rsid w:val="00AD4BE8"/>
    <w:rsid w:val="00AD4F2A"/>
    <w:rsid w:val="00AD6184"/>
    <w:rsid w:val="00AD64A4"/>
    <w:rsid w:val="00AD6F99"/>
    <w:rsid w:val="00AD7712"/>
    <w:rsid w:val="00AD7770"/>
    <w:rsid w:val="00AD7FA9"/>
    <w:rsid w:val="00AE004A"/>
    <w:rsid w:val="00AE08AF"/>
    <w:rsid w:val="00AE10EA"/>
    <w:rsid w:val="00AE1124"/>
    <w:rsid w:val="00AE11E6"/>
    <w:rsid w:val="00AE12C3"/>
    <w:rsid w:val="00AE190C"/>
    <w:rsid w:val="00AE2164"/>
    <w:rsid w:val="00AE26E2"/>
    <w:rsid w:val="00AE280C"/>
    <w:rsid w:val="00AE32CA"/>
    <w:rsid w:val="00AE3E5B"/>
    <w:rsid w:val="00AE4830"/>
    <w:rsid w:val="00AE56F3"/>
    <w:rsid w:val="00AE6BFD"/>
    <w:rsid w:val="00AE6E0B"/>
    <w:rsid w:val="00AE6FDF"/>
    <w:rsid w:val="00AE70E2"/>
    <w:rsid w:val="00AE71FD"/>
    <w:rsid w:val="00AE750A"/>
    <w:rsid w:val="00AE77E8"/>
    <w:rsid w:val="00AF041A"/>
    <w:rsid w:val="00AF08F0"/>
    <w:rsid w:val="00AF0C5D"/>
    <w:rsid w:val="00AF0CE5"/>
    <w:rsid w:val="00AF0EA0"/>
    <w:rsid w:val="00AF17CC"/>
    <w:rsid w:val="00AF2E2C"/>
    <w:rsid w:val="00AF3831"/>
    <w:rsid w:val="00AF3B8D"/>
    <w:rsid w:val="00AF4184"/>
    <w:rsid w:val="00AF4F34"/>
    <w:rsid w:val="00AF576F"/>
    <w:rsid w:val="00AF5C5F"/>
    <w:rsid w:val="00AF6011"/>
    <w:rsid w:val="00AF6591"/>
    <w:rsid w:val="00AF6718"/>
    <w:rsid w:val="00AF6CF1"/>
    <w:rsid w:val="00AF72D1"/>
    <w:rsid w:val="00AF7BF6"/>
    <w:rsid w:val="00B002EB"/>
    <w:rsid w:val="00B003E2"/>
    <w:rsid w:val="00B005BB"/>
    <w:rsid w:val="00B02C4F"/>
    <w:rsid w:val="00B02FB2"/>
    <w:rsid w:val="00B038AF"/>
    <w:rsid w:val="00B03FC0"/>
    <w:rsid w:val="00B03FE4"/>
    <w:rsid w:val="00B04488"/>
    <w:rsid w:val="00B05919"/>
    <w:rsid w:val="00B0598D"/>
    <w:rsid w:val="00B05A50"/>
    <w:rsid w:val="00B06769"/>
    <w:rsid w:val="00B06E06"/>
    <w:rsid w:val="00B06E37"/>
    <w:rsid w:val="00B07453"/>
    <w:rsid w:val="00B07708"/>
    <w:rsid w:val="00B10B79"/>
    <w:rsid w:val="00B10EB2"/>
    <w:rsid w:val="00B11788"/>
    <w:rsid w:val="00B12040"/>
    <w:rsid w:val="00B12246"/>
    <w:rsid w:val="00B12C0E"/>
    <w:rsid w:val="00B1310C"/>
    <w:rsid w:val="00B131FD"/>
    <w:rsid w:val="00B132D0"/>
    <w:rsid w:val="00B1384B"/>
    <w:rsid w:val="00B13CAE"/>
    <w:rsid w:val="00B13F14"/>
    <w:rsid w:val="00B14A57"/>
    <w:rsid w:val="00B14AB8"/>
    <w:rsid w:val="00B158E0"/>
    <w:rsid w:val="00B16CCC"/>
    <w:rsid w:val="00B177E3"/>
    <w:rsid w:val="00B17C2F"/>
    <w:rsid w:val="00B2054E"/>
    <w:rsid w:val="00B2082B"/>
    <w:rsid w:val="00B20D7C"/>
    <w:rsid w:val="00B20FDF"/>
    <w:rsid w:val="00B21281"/>
    <w:rsid w:val="00B217C0"/>
    <w:rsid w:val="00B21950"/>
    <w:rsid w:val="00B219B5"/>
    <w:rsid w:val="00B22049"/>
    <w:rsid w:val="00B222FC"/>
    <w:rsid w:val="00B23811"/>
    <w:rsid w:val="00B242D5"/>
    <w:rsid w:val="00B244BC"/>
    <w:rsid w:val="00B24583"/>
    <w:rsid w:val="00B24C02"/>
    <w:rsid w:val="00B2580E"/>
    <w:rsid w:val="00B25C63"/>
    <w:rsid w:val="00B267A0"/>
    <w:rsid w:val="00B2689F"/>
    <w:rsid w:val="00B26CBE"/>
    <w:rsid w:val="00B26FC8"/>
    <w:rsid w:val="00B27684"/>
    <w:rsid w:val="00B27EB1"/>
    <w:rsid w:val="00B3005A"/>
    <w:rsid w:val="00B301EA"/>
    <w:rsid w:val="00B30924"/>
    <w:rsid w:val="00B30B70"/>
    <w:rsid w:val="00B322C1"/>
    <w:rsid w:val="00B32E38"/>
    <w:rsid w:val="00B33354"/>
    <w:rsid w:val="00B33C92"/>
    <w:rsid w:val="00B346EE"/>
    <w:rsid w:val="00B347D7"/>
    <w:rsid w:val="00B34E0B"/>
    <w:rsid w:val="00B35564"/>
    <w:rsid w:val="00B3569F"/>
    <w:rsid w:val="00B35AFA"/>
    <w:rsid w:val="00B35F2B"/>
    <w:rsid w:val="00B36509"/>
    <w:rsid w:val="00B36B92"/>
    <w:rsid w:val="00B36C6B"/>
    <w:rsid w:val="00B37D21"/>
    <w:rsid w:val="00B40FA1"/>
    <w:rsid w:val="00B412DF"/>
    <w:rsid w:val="00B42137"/>
    <w:rsid w:val="00B421C3"/>
    <w:rsid w:val="00B425E0"/>
    <w:rsid w:val="00B43953"/>
    <w:rsid w:val="00B43AB9"/>
    <w:rsid w:val="00B43E43"/>
    <w:rsid w:val="00B444FD"/>
    <w:rsid w:val="00B44B5D"/>
    <w:rsid w:val="00B4587E"/>
    <w:rsid w:val="00B46279"/>
    <w:rsid w:val="00B462E3"/>
    <w:rsid w:val="00B470B8"/>
    <w:rsid w:val="00B47494"/>
    <w:rsid w:val="00B478FC"/>
    <w:rsid w:val="00B47C81"/>
    <w:rsid w:val="00B51673"/>
    <w:rsid w:val="00B525EC"/>
    <w:rsid w:val="00B5281F"/>
    <w:rsid w:val="00B52A08"/>
    <w:rsid w:val="00B5308A"/>
    <w:rsid w:val="00B53AA0"/>
    <w:rsid w:val="00B53E1D"/>
    <w:rsid w:val="00B5424F"/>
    <w:rsid w:val="00B547CF"/>
    <w:rsid w:val="00B54B6A"/>
    <w:rsid w:val="00B55491"/>
    <w:rsid w:val="00B559AE"/>
    <w:rsid w:val="00B55F6F"/>
    <w:rsid w:val="00B560ED"/>
    <w:rsid w:val="00B56929"/>
    <w:rsid w:val="00B56A05"/>
    <w:rsid w:val="00B56D85"/>
    <w:rsid w:val="00B56D9A"/>
    <w:rsid w:val="00B56DEE"/>
    <w:rsid w:val="00B57B34"/>
    <w:rsid w:val="00B57CD0"/>
    <w:rsid w:val="00B60250"/>
    <w:rsid w:val="00B60556"/>
    <w:rsid w:val="00B60636"/>
    <w:rsid w:val="00B60C39"/>
    <w:rsid w:val="00B60E01"/>
    <w:rsid w:val="00B611AB"/>
    <w:rsid w:val="00B62927"/>
    <w:rsid w:val="00B633C5"/>
    <w:rsid w:val="00B637B6"/>
    <w:rsid w:val="00B64130"/>
    <w:rsid w:val="00B66106"/>
    <w:rsid w:val="00B663BE"/>
    <w:rsid w:val="00B6650D"/>
    <w:rsid w:val="00B66D59"/>
    <w:rsid w:val="00B71177"/>
    <w:rsid w:val="00B71381"/>
    <w:rsid w:val="00B71904"/>
    <w:rsid w:val="00B719DB"/>
    <w:rsid w:val="00B71F22"/>
    <w:rsid w:val="00B7267B"/>
    <w:rsid w:val="00B72771"/>
    <w:rsid w:val="00B72918"/>
    <w:rsid w:val="00B72D59"/>
    <w:rsid w:val="00B7390D"/>
    <w:rsid w:val="00B73E58"/>
    <w:rsid w:val="00B7426C"/>
    <w:rsid w:val="00B743DA"/>
    <w:rsid w:val="00B744BC"/>
    <w:rsid w:val="00B745CA"/>
    <w:rsid w:val="00B74826"/>
    <w:rsid w:val="00B7547B"/>
    <w:rsid w:val="00B75A57"/>
    <w:rsid w:val="00B75F96"/>
    <w:rsid w:val="00B76517"/>
    <w:rsid w:val="00B76DE5"/>
    <w:rsid w:val="00B76EC4"/>
    <w:rsid w:val="00B7742B"/>
    <w:rsid w:val="00B779D3"/>
    <w:rsid w:val="00B80C41"/>
    <w:rsid w:val="00B80F88"/>
    <w:rsid w:val="00B81154"/>
    <w:rsid w:val="00B8128D"/>
    <w:rsid w:val="00B8219A"/>
    <w:rsid w:val="00B8387A"/>
    <w:rsid w:val="00B83F64"/>
    <w:rsid w:val="00B8464E"/>
    <w:rsid w:val="00B8585E"/>
    <w:rsid w:val="00B85AFB"/>
    <w:rsid w:val="00B86374"/>
    <w:rsid w:val="00B86C4F"/>
    <w:rsid w:val="00B86FD6"/>
    <w:rsid w:val="00B87DA2"/>
    <w:rsid w:val="00B90276"/>
    <w:rsid w:val="00B90541"/>
    <w:rsid w:val="00B916C9"/>
    <w:rsid w:val="00B9260D"/>
    <w:rsid w:val="00B92784"/>
    <w:rsid w:val="00B92AF4"/>
    <w:rsid w:val="00B93093"/>
    <w:rsid w:val="00B93625"/>
    <w:rsid w:val="00B940C1"/>
    <w:rsid w:val="00B94678"/>
    <w:rsid w:val="00B94E0E"/>
    <w:rsid w:val="00B953DC"/>
    <w:rsid w:val="00B9565B"/>
    <w:rsid w:val="00B957BC"/>
    <w:rsid w:val="00B95917"/>
    <w:rsid w:val="00B95FC6"/>
    <w:rsid w:val="00B9754E"/>
    <w:rsid w:val="00B9773D"/>
    <w:rsid w:val="00BA0542"/>
    <w:rsid w:val="00BA0737"/>
    <w:rsid w:val="00BA1A67"/>
    <w:rsid w:val="00BA1E01"/>
    <w:rsid w:val="00BA1E18"/>
    <w:rsid w:val="00BA2540"/>
    <w:rsid w:val="00BA2B0D"/>
    <w:rsid w:val="00BA3206"/>
    <w:rsid w:val="00BA32A7"/>
    <w:rsid w:val="00BA36DC"/>
    <w:rsid w:val="00BA3C62"/>
    <w:rsid w:val="00BA4998"/>
    <w:rsid w:val="00BA4C3D"/>
    <w:rsid w:val="00BA553D"/>
    <w:rsid w:val="00BA5C1C"/>
    <w:rsid w:val="00BA62C8"/>
    <w:rsid w:val="00BA7923"/>
    <w:rsid w:val="00BA7BAE"/>
    <w:rsid w:val="00BB04F4"/>
    <w:rsid w:val="00BB0F5E"/>
    <w:rsid w:val="00BB13FD"/>
    <w:rsid w:val="00BB1F13"/>
    <w:rsid w:val="00BB21A1"/>
    <w:rsid w:val="00BB234A"/>
    <w:rsid w:val="00BB24CD"/>
    <w:rsid w:val="00BB262D"/>
    <w:rsid w:val="00BB267E"/>
    <w:rsid w:val="00BB26AA"/>
    <w:rsid w:val="00BB26C4"/>
    <w:rsid w:val="00BB26EC"/>
    <w:rsid w:val="00BB281B"/>
    <w:rsid w:val="00BB288C"/>
    <w:rsid w:val="00BB2FE3"/>
    <w:rsid w:val="00BB3307"/>
    <w:rsid w:val="00BB3652"/>
    <w:rsid w:val="00BB3B9F"/>
    <w:rsid w:val="00BB474C"/>
    <w:rsid w:val="00BB4AA0"/>
    <w:rsid w:val="00BB5188"/>
    <w:rsid w:val="00BB5190"/>
    <w:rsid w:val="00BB5D72"/>
    <w:rsid w:val="00BB5E2D"/>
    <w:rsid w:val="00BB6882"/>
    <w:rsid w:val="00BB68AD"/>
    <w:rsid w:val="00BB68E8"/>
    <w:rsid w:val="00BB6C09"/>
    <w:rsid w:val="00BB6F9F"/>
    <w:rsid w:val="00BB7EBE"/>
    <w:rsid w:val="00BC00BE"/>
    <w:rsid w:val="00BC0783"/>
    <w:rsid w:val="00BC07E5"/>
    <w:rsid w:val="00BC081D"/>
    <w:rsid w:val="00BC0AA3"/>
    <w:rsid w:val="00BC1AD6"/>
    <w:rsid w:val="00BC1FED"/>
    <w:rsid w:val="00BC2098"/>
    <w:rsid w:val="00BC20DC"/>
    <w:rsid w:val="00BC210B"/>
    <w:rsid w:val="00BC2963"/>
    <w:rsid w:val="00BC3B88"/>
    <w:rsid w:val="00BC4450"/>
    <w:rsid w:val="00BC5150"/>
    <w:rsid w:val="00BC5960"/>
    <w:rsid w:val="00BC5F24"/>
    <w:rsid w:val="00BC639F"/>
    <w:rsid w:val="00BC663C"/>
    <w:rsid w:val="00BC67E9"/>
    <w:rsid w:val="00BC6B34"/>
    <w:rsid w:val="00BC7FD8"/>
    <w:rsid w:val="00BD0426"/>
    <w:rsid w:val="00BD042D"/>
    <w:rsid w:val="00BD0885"/>
    <w:rsid w:val="00BD0E75"/>
    <w:rsid w:val="00BD1164"/>
    <w:rsid w:val="00BD24B3"/>
    <w:rsid w:val="00BD2819"/>
    <w:rsid w:val="00BD2C7F"/>
    <w:rsid w:val="00BD2CA0"/>
    <w:rsid w:val="00BD2CF6"/>
    <w:rsid w:val="00BD2DDC"/>
    <w:rsid w:val="00BD33F5"/>
    <w:rsid w:val="00BD3971"/>
    <w:rsid w:val="00BD4126"/>
    <w:rsid w:val="00BD48C0"/>
    <w:rsid w:val="00BD51C6"/>
    <w:rsid w:val="00BD64D0"/>
    <w:rsid w:val="00BD6C1B"/>
    <w:rsid w:val="00BD7392"/>
    <w:rsid w:val="00BD78AC"/>
    <w:rsid w:val="00BE010C"/>
    <w:rsid w:val="00BE0212"/>
    <w:rsid w:val="00BE0264"/>
    <w:rsid w:val="00BE02B9"/>
    <w:rsid w:val="00BE03BB"/>
    <w:rsid w:val="00BE05B0"/>
    <w:rsid w:val="00BE0A9B"/>
    <w:rsid w:val="00BE11A1"/>
    <w:rsid w:val="00BE120B"/>
    <w:rsid w:val="00BE17B0"/>
    <w:rsid w:val="00BE1800"/>
    <w:rsid w:val="00BE1C47"/>
    <w:rsid w:val="00BE247F"/>
    <w:rsid w:val="00BE30E7"/>
    <w:rsid w:val="00BE3679"/>
    <w:rsid w:val="00BE3707"/>
    <w:rsid w:val="00BE3AA8"/>
    <w:rsid w:val="00BE3D15"/>
    <w:rsid w:val="00BE4721"/>
    <w:rsid w:val="00BE4E76"/>
    <w:rsid w:val="00BE5444"/>
    <w:rsid w:val="00BE5C5A"/>
    <w:rsid w:val="00BE6304"/>
    <w:rsid w:val="00BE69A7"/>
    <w:rsid w:val="00BE6AB6"/>
    <w:rsid w:val="00BF054F"/>
    <w:rsid w:val="00BF0771"/>
    <w:rsid w:val="00BF0841"/>
    <w:rsid w:val="00BF1E78"/>
    <w:rsid w:val="00BF2577"/>
    <w:rsid w:val="00BF264B"/>
    <w:rsid w:val="00BF332A"/>
    <w:rsid w:val="00BF37E2"/>
    <w:rsid w:val="00BF48E0"/>
    <w:rsid w:val="00BF4F9B"/>
    <w:rsid w:val="00BF6583"/>
    <w:rsid w:val="00BF68DC"/>
    <w:rsid w:val="00BF6990"/>
    <w:rsid w:val="00BF7409"/>
    <w:rsid w:val="00BF749A"/>
    <w:rsid w:val="00BF7BAA"/>
    <w:rsid w:val="00BF7D78"/>
    <w:rsid w:val="00BF7F20"/>
    <w:rsid w:val="00C003FD"/>
    <w:rsid w:val="00C00BF6"/>
    <w:rsid w:val="00C012E3"/>
    <w:rsid w:val="00C01665"/>
    <w:rsid w:val="00C01A81"/>
    <w:rsid w:val="00C01ABA"/>
    <w:rsid w:val="00C01B9F"/>
    <w:rsid w:val="00C02520"/>
    <w:rsid w:val="00C03526"/>
    <w:rsid w:val="00C04313"/>
    <w:rsid w:val="00C04546"/>
    <w:rsid w:val="00C047E0"/>
    <w:rsid w:val="00C05DD5"/>
    <w:rsid w:val="00C065F7"/>
    <w:rsid w:val="00C07075"/>
    <w:rsid w:val="00C07DA2"/>
    <w:rsid w:val="00C10111"/>
    <w:rsid w:val="00C1055B"/>
    <w:rsid w:val="00C11553"/>
    <w:rsid w:val="00C1198F"/>
    <w:rsid w:val="00C11ABE"/>
    <w:rsid w:val="00C11B77"/>
    <w:rsid w:val="00C12F45"/>
    <w:rsid w:val="00C13576"/>
    <w:rsid w:val="00C139CD"/>
    <w:rsid w:val="00C15727"/>
    <w:rsid w:val="00C160CA"/>
    <w:rsid w:val="00C165D1"/>
    <w:rsid w:val="00C16890"/>
    <w:rsid w:val="00C1694F"/>
    <w:rsid w:val="00C16CC1"/>
    <w:rsid w:val="00C16D8E"/>
    <w:rsid w:val="00C16E56"/>
    <w:rsid w:val="00C17424"/>
    <w:rsid w:val="00C2003C"/>
    <w:rsid w:val="00C21CF0"/>
    <w:rsid w:val="00C21F18"/>
    <w:rsid w:val="00C222D6"/>
    <w:rsid w:val="00C22AD3"/>
    <w:rsid w:val="00C23275"/>
    <w:rsid w:val="00C23CE2"/>
    <w:rsid w:val="00C246E1"/>
    <w:rsid w:val="00C2556D"/>
    <w:rsid w:val="00C26C36"/>
    <w:rsid w:val="00C26DB7"/>
    <w:rsid w:val="00C27EEF"/>
    <w:rsid w:val="00C307E3"/>
    <w:rsid w:val="00C3094F"/>
    <w:rsid w:val="00C30A00"/>
    <w:rsid w:val="00C3238B"/>
    <w:rsid w:val="00C32E44"/>
    <w:rsid w:val="00C3313F"/>
    <w:rsid w:val="00C33492"/>
    <w:rsid w:val="00C336F9"/>
    <w:rsid w:val="00C347A2"/>
    <w:rsid w:val="00C3484E"/>
    <w:rsid w:val="00C350EC"/>
    <w:rsid w:val="00C355E8"/>
    <w:rsid w:val="00C363AD"/>
    <w:rsid w:val="00C36C12"/>
    <w:rsid w:val="00C37581"/>
    <w:rsid w:val="00C376DE"/>
    <w:rsid w:val="00C3775A"/>
    <w:rsid w:val="00C379F7"/>
    <w:rsid w:val="00C4017F"/>
    <w:rsid w:val="00C402A0"/>
    <w:rsid w:val="00C41C2D"/>
    <w:rsid w:val="00C41DFD"/>
    <w:rsid w:val="00C41FC1"/>
    <w:rsid w:val="00C42770"/>
    <w:rsid w:val="00C42CAF"/>
    <w:rsid w:val="00C4367E"/>
    <w:rsid w:val="00C43CD9"/>
    <w:rsid w:val="00C44674"/>
    <w:rsid w:val="00C45B40"/>
    <w:rsid w:val="00C46038"/>
    <w:rsid w:val="00C461CB"/>
    <w:rsid w:val="00C4660E"/>
    <w:rsid w:val="00C46722"/>
    <w:rsid w:val="00C5043A"/>
    <w:rsid w:val="00C50ACC"/>
    <w:rsid w:val="00C51AF1"/>
    <w:rsid w:val="00C51FC1"/>
    <w:rsid w:val="00C52976"/>
    <w:rsid w:val="00C5379B"/>
    <w:rsid w:val="00C53AD5"/>
    <w:rsid w:val="00C543C1"/>
    <w:rsid w:val="00C5449E"/>
    <w:rsid w:val="00C55748"/>
    <w:rsid w:val="00C56218"/>
    <w:rsid w:val="00C56CE5"/>
    <w:rsid w:val="00C57406"/>
    <w:rsid w:val="00C57826"/>
    <w:rsid w:val="00C6030F"/>
    <w:rsid w:val="00C60A0D"/>
    <w:rsid w:val="00C60C05"/>
    <w:rsid w:val="00C6199B"/>
    <w:rsid w:val="00C6199F"/>
    <w:rsid w:val="00C61C78"/>
    <w:rsid w:val="00C61F3E"/>
    <w:rsid w:val="00C6260B"/>
    <w:rsid w:val="00C62B13"/>
    <w:rsid w:val="00C63B8F"/>
    <w:rsid w:val="00C64141"/>
    <w:rsid w:val="00C64588"/>
    <w:rsid w:val="00C64997"/>
    <w:rsid w:val="00C64CE4"/>
    <w:rsid w:val="00C660F3"/>
    <w:rsid w:val="00C6642A"/>
    <w:rsid w:val="00C666A9"/>
    <w:rsid w:val="00C669A8"/>
    <w:rsid w:val="00C66E86"/>
    <w:rsid w:val="00C67129"/>
    <w:rsid w:val="00C676C8"/>
    <w:rsid w:val="00C71312"/>
    <w:rsid w:val="00C715BC"/>
    <w:rsid w:val="00C71E96"/>
    <w:rsid w:val="00C7240F"/>
    <w:rsid w:val="00C72541"/>
    <w:rsid w:val="00C725ED"/>
    <w:rsid w:val="00C72610"/>
    <w:rsid w:val="00C7268E"/>
    <w:rsid w:val="00C72D6E"/>
    <w:rsid w:val="00C732F9"/>
    <w:rsid w:val="00C73418"/>
    <w:rsid w:val="00C7343B"/>
    <w:rsid w:val="00C749F2"/>
    <w:rsid w:val="00C74FA8"/>
    <w:rsid w:val="00C75052"/>
    <w:rsid w:val="00C75212"/>
    <w:rsid w:val="00C766E3"/>
    <w:rsid w:val="00C7705A"/>
    <w:rsid w:val="00C7738C"/>
    <w:rsid w:val="00C80458"/>
    <w:rsid w:val="00C80BBA"/>
    <w:rsid w:val="00C80D4E"/>
    <w:rsid w:val="00C819A7"/>
    <w:rsid w:val="00C82133"/>
    <w:rsid w:val="00C82453"/>
    <w:rsid w:val="00C824C7"/>
    <w:rsid w:val="00C83056"/>
    <w:rsid w:val="00C85944"/>
    <w:rsid w:val="00C864E2"/>
    <w:rsid w:val="00C870ED"/>
    <w:rsid w:val="00C871FF"/>
    <w:rsid w:val="00C90CC4"/>
    <w:rsid w:val="00C90D24"/>
    <w:rsid w:val="00C90FBE"/>
    <w:rsid w:val="00C91534"/>
    <w:rsid w:val="00C91541"/>
    <w:rsid w:val="00C92611"/>
    <w:rsid w:val="00C93896"/>
    <w:rsid w:val="00C9431D"/>
    <w:rsid w:val="00C945AB"/>
    <w:rsid w:val="00C94FF6"/>
    <w:rsid w:val="00C96242"/>
    <w:rsid w:val="00C97412"/>
    <w:rsid w:val="00C976BE"/>
    <w:rsid w:val="00C976E0"/>
    <w:rsid w:val="00C9773C"/>
    <w:rsid w:val="00C97C99"/>
    <w:rsid w:val="00CA0AFB"/>
    <w:rsid w:val="00CA0E18"/>
    <w:rsid w:val="00CA13E1"/>
    <w:rsid w:val="00CA1408"/>
    <w:rsid w:val="00CA2C5B"/>
    <w:rsid w:val="00CA2EA1"/>
    <w:rsid w:val="00CA363A"/>
    <w:rsid w:val="00CA373C"/>
    <w:rsid w:val="00CA3B7E"/>
    <w:rsid w:val="00CA3DB7"/>
    <w:rsid w:val="00CA4CC5"/>
    <w:rsid w:val="00CA4E23"/>
    <w:rsid w:val="00CA597B"/>
    <w:rsid w:val="00CA6C07"/>
    <w:rsid w:val="00CA7C39"/>
    <w:rsid w:val="00CA7F31"/>
    <w:rsid w:val="00CB079D"/>
    <w:rsid w:val="00CB083B"/>
    <w:rsid w:val="00CB1C59"/>
    <w:rsid w:val="00CB1D29"/>
    <w:rsid w:val="00CB2F2B"/>
    <w:rsid w:val="00CB42C4"/>
    <w:rsid w:val="00CB488C"/>
    <w:rsid w:val="00CB5D04"/>
    <w:rsid w:val="00CB6768"/>
    <w:rsid w:val="00CB693E"/>
    <w:rsid w:val="00CB766E"/>
    <w:rsid w:val="00CB7A28"/>
    <w:rsid w:val="00CC05D3"/>
    <w:rsid w:val="00CC08B9"/>
    <w:rsid w:val="00CC1241"/>
    <w:rsid w:val="00CC186E"/>
    <w:rsid w:val="00CC2518"/>
    <w:rsid w:val="00CC3719"/>
    <w:rsid w:val="00CC46B4"/>
    <w:rsid w:val="00CC4AA0"/>
    <w:rsid w:val="00CC4FE6"/>
    <w:rsid w:val="00CC5039"/>
    <w:rsid w:val="00CC5285"/>
    <w:rsid w:val="00CC5A2D"/>
    <w:rsid w:val="00CC68CF"/>
    <w:rsid w:val="00CC72C0"/>
    <w:rsid w:val="00CD0329"/>
    <w:rsid w:val="00CD0C01"/>
    <w:rsid w:val="00CD0E61"/>
    <w:rsid w:val="00CD115E"/>
    <w:rsid w:val="00CD2104"/>
    <w:rsid w:val="00CD2C80"/>
    <w:rsid w:val="00CD3503"/>
    <w:rsid w:val="00CD3CCA"/>
    <w:rsid w:val="00CD552A"/>
    <w:rsid w:val="00CD66E9"/>
    <w:rsid w:val="00CD69E9"/>
    <w:rsid w:val="00CD6EA9"/>
    <w:rsid w:val="00CD7966"/>
    <w:rsid w:val="00CE0171"/>
    <w:rsid w:val="00CE0ED1"/>
    <w:rsid w:val="00CE0EE7"/>
    <w:rsid w:val="00CE1A00"/>
    <w:rsid w:val="00CE1EEA"/>
    <w:rsid w:val="00CE318B"/>
    <w:rsid w:val="00CE35F4"/>
    <w:rsid w:val="00CE3ABC"/>
    <w:rsid w:val="00CE3D10"/>
    <w:rsid w:val="00CE4197"/>
    <w:rsid w:val="00CE4D56"/>
    <w:rsid w:val="00CE5302"/>
    <w:rsid w:val="00CE560C"/>
    <w:rsid w:val="00CE59EC"/>
    <w:rsid w:val="00CE5CA9"/>
    <w:rsid w:val="00CE71B2"/>
    <w:rsid w:val="00CE7DEC"/>
    <w:rsid w:val="00CF004C"/>
    <w:rsid w:val="00CF0D94"/>
    <w:rsid w:val="00CF10BA"/>
    <w:rsid w:val="00CF1432"/>
    <w:rsid w:val="00CF200F"/>
    <w:rsid w:val="00CF21A7"/>
    <w:rsid w:val="00CF2D44"/>
    <w:rsid w:val="00CF4107"/>
    <w:rsid w:val="00CF43D7"/>
    <w:rsid w:val="00CF72EE"/>
    <w:rsid w:val="00D002BB"/>
    <w:rsid w:val="00D00A48"/>
    <w:rsid w:val="00D0156F"/>
    <w:rsid w:val="00D01785"/>
    <w:rsid w:val="00D0179F"/>
    <w:rsid w:val="00D017CF"/>
    <w:rsid w:val="00D01A46"/>
    <w:rsid w:val="00D01D4E"/>
    <w:rsid w:val="00D0277A"/>
    <w:rsid w:val="00D0284D"/>
    <w:rsid w:val="00D036B2"/>
    <w:rsid w:val="00D04285"/>
    <w:rsid w:val="00D043A2"/>
    <w:rsid w:val="00D04F67"/>
    <w:rsid w:val="00D054AB"/>
    <w:rsid w:val="00D054D9"/>
    <w:rsid w:val="00D05A34"/>
    <w:rsid w:val="00D0654E"/>
    <w:rsid w:val="00D065C2"/>
    <w:rsid w:val="00D06908"/>
    <w:rsid w:val="00D06CB2"/>
    <w:rsid w:val="00D1122E"/>
    <w:rsid w:val="00D118B6"/>
    <w:rsid w:val="00D12750"/>
    <w:rsid w:val="00D12D4B"/>
    <w:rsid w:val="00D1332F"/>
    <w:rsid w:val="00D13F9C"/>
    <w:rsid w:val="00D13FC8"/>
    <w:rsid w:val="00D14D7C"/>
    <w:rsid w:val="00D1549C"/>
    <w:rsid w:val="00D158E5"/>
    <w:rsid w:val="00D15BB9"/>
    <w:rsid w:val="00D15BBB"/>
    <w:rsid w:val="00D16068"/>
    <w:rsid w:val="00D172BA"/>
    <w:rsid w:val="00D177BC"/>
    <w:rsid w:val="00D1791B"/>
    <w:rsid w:val="00D20847"/>
    <w:rsid w:val="00D20B37"/>
    <w:rsid w:val="00D210A3"/>
    <w:rsid w:val="00D21A5C"/>
    <w:rsid w:val="00D22203"/>
    <w:rsid w:val="00D224EB"/>
    <w:rsid w:val="00D22ACC"/>
    <w:rsid w:val="00D22C44"/>
    <w:rsid w:val="00D2308A"/>
    <w:rsid w:val="00D23453"/>
    <w:rsid w:val="00D2599E"/>
    <w:rsid w:val="00D25E12"/>
    <w:rsid w:val="00D26268"/>
    <w:rsid w:val="00D263A9"/>
    <w:rsid w:val="00D26491"/>
    <w:rsid w:val="00D265E0"/>
    <w:rsid w:val="00D2684F"/>
    <w:rsid w:val="00D30599"/>
    <w:rsid w:val="00D30ACC"/>
    <w:rsid w:val="00D30AF9"/>
    <w:rsid w:val="00D30BDA"/>
    <w:rsid w:val="00D315DE"/>
    <w:rsid w:val="00D31614"/>
    <w:rsid w:val="00D317F5"/>
    <w:rsid w:val="00D31885"/>
    <w:rsid w:val="00D319B6"/>
    <w:rsid w:val="00D32604"/>
    <w:rsid w:val="00D32643"/>
    <w:rsid w:val="00D32A2F"/>
    <w:rsid w:val="00D32D54"/>
    <w:rsid w:val="00D32EB7"/>
    <w:rsid w:val="00D34643"/>
    <w:rsid w:val="00D35997"/>
    <w:rsid w:val="00D368EE"/>
    <w:rsid w:val="00D4050F"/>
    <w:rsid w:val="00D408F1"/>
    <w:rsid w:val="00D410DB"/>
    <w:rsid w:val="00D411ED"/>
    <w:rsid w:val="00D41412"/>
    <w:rsid w:val="00D41A10"/>
    <w:rsid w:val="00D42053"/>
    <w:rsid w:val="00D427A3"/>
    <w:rsid w:val="00D42B67"/>
    <w:rsid w:val="00D432E0"/>
    <w:rsid w:val="00D43447"/>
    <w:rsid w:val="00D4367F"/>
    <w:rsid w:val="00D439AF"/>
    <w:rsid w:val="00D43F4C"/>
    <w:rsid w:val="00D44554"/>
    <w:rsid w:val="00D44970"/>
    <w:rsid w:val="00D44FA6"/>
    <w:rsid w:val="00D45521"/>
    <w:rsid w:val="00D45A49"/>
    <w:rsid w:val="00D45CA0"/>
    <w:rsid w:val="00D45D76"/>
    <w:rsid w:val="00D45FDB"/>
    <w:rsid w:val="00D464C0"/>
    <w:rsid w:val="00D4655F"/>
    <w:rsid w:val="00D4684C"/>
    <w:rsid w:val="00D5033B"/>
    <w:rsid w:val="00D50A2F"/>
    <w:rsid w:val="00D50FC4"/>
    <w:rsid w:val="00D51120"/>
    <w:rsid w:val="00D51609"/>
    <w:rsid w:val="00D51D74"/>
    <w:rsid w:val="00D529A5"/>
    <w:rsid w:val="00D52BEC"/>
    <w:rsid w:val="00D52ECF"/>
    <w:rsid w:val="00D534A6"/>
    <w:rsid w:val="00D534B5"/>
    <w:rsid w:val="00D5449C"/>
    <w:rsid w:val="00D54D62"/>
    <w:rsid w:val="00D54EB2"/>
    <w:rsid w:val="00D550FD"/>
    <w:rsid w:val="00D556E7"/>
    <w:rsid w:val="00D55C90"/>
    <w:rsid w:val="00D5605E"/>
    <w:rsid w:val="00D561B8"/>
    <w:rsid w:val="00D5646D"/>
    <w:rsid w:val="00D60413"/>
    <w:rsid w:val="00D60DDA"/>
    <w:rsid w:val="00D611C4"/>
    <w:rsid w:val="00D619C4"/>
    <w:rsid w:val="00D61D88"/>
    <w:rsid w:val="00D61E7A"/>
    <w:rsid w:val="00D62165"/>
    <w:rsid w:val="00D634B7"/>
    <w:rsid w:val="00D6372C"/>
    <w:rsid w:val="00D63783"/>
    <w:rsid w:val="00D643D7"/>
    <w:rsid w:val="00D65151"/>
    <w:rsid w:val="00D6524B"/>
    <w:rsid w:val="00D659B3"/>
    <w:rsid w:val="00D65B2D"/>
    <w:rsid w:val="00D65C53"/>
    <w:rsid w:val="00D65EDD"/>
    <w:rsid w:val="00D66835"/>
    <w:rsid w:val="00D66AB3"/>
    <w:rsid w:val="00D67454"/>
    <w:rsid w:val="00D67DCF"/>
    <w:rsid w:val="00D70B63"/>
    <w:rsid w:val="00D714D7"/>
    <w:rsid w:val="00D71A4E"/>
    <w:rsid w:val="00D727BB"/>
    <w:rsid w:val="00D72F4C"/>
    <w:rsid w:val="00D7320F"/>
    <w:rsid w:val="00D732AA"/>
    <w:rsid w:val="00D736FE"/>
    <w:rsid w:val="00D73A0D"/>
    <w:rsid w:val="00D73A9A"/>
    <w:rsid w:val="00D73BE5"/>
    <w:rsid w:val="00D73E86"/>
    <w:rsid w:val="00D74475"/>
    <w:rsid w:val="00D74665"/>
    <w:rsid w:val="00D75219"/>
    <w:rsid w:val="00D75549"/>
    <w:rsid w:val="00D75D4E"/>
    <w:rsid w:val="00D762BC"/>
    <w:rsid w:val="00D762E4"/>
    <w:rsid w:val="00D772D4"/>
    <w:rsid w:val="00D803D9"/>
    <w:rsid w:val="00D808AA"/>
    <w:rsid w:val="00D81294"/>
    <w:rsid w:val="00D81BE1"/>
    <w:rsid w:val="00D81EFD"/>
    <w:rsid w:val="00D81F9C"/>
    <w:rsid w:val="00D83B02"/>
    <w:rsid w:val="00D8402D"/>
    <w:rsid w:val="00D84539"/>
    <w:rsid w:val="00D84C4D"/>
    <w:rsid w:val="00D84E48"/>
    <w:rsid w:val="00D85AC1"/>
    <w:rsid w:val="00D85DCD"/>
    <w:rsid w:val="00D86801"/>
    <w:rsid w:val="00D86A39"/>
    <w:rsid w:val="00D86C36"/>
    <w:rsid w:val="00D86D24"/>
    <w:rsid w:val="00D879FF"/>
    <w:rsid w:val="00D902B8"/>
    <w:rsid w:val="00D905A0"/>
    <w:rsid w:val="00D916FA"/>
    <w:rsid w:val="00D92394"/>
    <w:rsid w:val="00D923E6"/>
    <w:rsid w:val="00D92ACF"/>
    <w:rsid w:val="00D92FDA"/>
    <w:rsid w:val="00D940BA"/>
    <w:rsid w:val="00D951A2"/>
    <w:rsid w:val="00D9555D"/>
    <w:rsid w:val="00D9559A"/>
    <w:rsid w:val="00D95C75"/>
    <w:rsid w:val="00D961B7"/>
    <w:rsid w:val="00D97046"/>
    <w:rsid w:val="00D972A6"/>
    <w:rsid w:val="00D9739F"/>
    <w:rsid w:val="00D977A2"/>
    <w:rsid w:val="00DA0140"/>
    <w:rsid w:val="00DA0907"/>
    <w:rsid w:val="00DA0EE7"/>
    <w:rsid w:val="00DA1347"/>
    <w:rsid w:val="00DA201E"/>
    <w:rsid w:val="00DA3225"/>
    <w:rsid w:val="00DA3556"/>
    <w:rsid w:val="00DA37F0"/>
    <w:rsid w:val="00DA3DC4"/>
    <w:rsid w:val="00DA4A7E"/>
    <w:rsid w:val="00DA5F45"/>
    <w:rsid w:val="00DA6E50"/>
    <w:rsid w:val="00DB0017"/>
    <w:rsid w:val="00DB0706"/>
    <w:rsid w:val="00DB0815"/>
    <w:rsid w:val="00DB116F"/>
    <w:rsid w:val="00DB19D4"/>
    <w:rsid w:val="00DB1A29"/>
    <w:rsid w:val="00DB1DE4"/>
    <w:rsid w:val="00DB1DEA"/>
    <w:rsid w:val="00DB258A"/>
    <w:rsid w:val="00DB29E7"/>
    <w:rsid w:val="00DB3A2F"/>
    <w:rsid w:val="00DB3FF4"/>
    <w:rsid w:val="00DB49FA"/>
    <w:rsid w:val="00DB5B73"/>
    <w:rsid w:val="00DB6184"/>
    <w:rsid w:val="00DB61FA"/>
    <w:rsid w:val="00DB6C21"/>
    <w:rsid w:val="00DB7215"/>
    <w:rsid w:val="00DB73BF"/>
    <w:rsid w:val="00DB75FA"/>
    <w:rsid w:val="00DB779E"/>
    <w:rsid w:val="00DB788B"/>
    <w:rsid w:val="00DB7B53"/>
    <w:rsid w:val="00DB7C03"/>
    <w:rsid w:val="00DC01A0"/>
    <w:rsid w:val="00DC0BE5"/>
    <w:rsid w:val="00DC1068"/>
    <w:rsid w:val="00DC2D72"/>
    <w:rsid w:val="00DC309F"/>
    <w:rsid w:val="00DC3287"/>
    <w:rsid w:val="00DC3880"/>
    <w:rsid w:val="00DC3936"/>
    <w:rsid w:val="00DC3A70"/>
    <w:rsid w:val="00DC5B17"/>
    <w:rsid w:val="00DC6746"/>
    <w:rsid w:val="00DC68A5"/>
    <w:rsid w:val="00DC6F07"/>
    <w:rsid w:val="00DC6F70"/>
    <w:rsid w:val="00DC6F8E"/>
    <w:rsid w:val="00DC6F98"/>
    <w:rsid w:val="00DC7ADA"/>
    <w:rsid w:val="00DC7B36"/>
    <w:rsid w:val="00DC7D9D"/>
    <w:rsid w:val="00DD1D92"/>
    <w:rsid w:val="00DD1F37"/>
    <w:rsid w:val="00DD2669"/>
    <w:rsid w:val="00DD31E4"/>
    <w:rsid w:val="00DD33E0"/>
    <w:rsid w:val="00DD3A2D"/>
    <w:rsid w:val="00DD49A3"/>
    <w:rsid w:val="00DD5477"/>
    <w:rsid w:val="00DD549A"/>
    <w:rsid w:val="00DD564F"/>
    <w:rsid w:val="00DD59C8"/>
    <w:rsid w:val="00DD6336"/>
    <w:rsid w:val="00DD66D2"/>
    <w:rsid w:val="00DD720E"/>
    <w:rsid w:val="00DD789F"/>
    <w:rsid w:val="00DD78F6"/>
    <w:rsid w:val="00DD7ADF"/>
    <w:rsid w:val="00DD7F61"/>
    <w:rsid w:val="00DE176A"/>
    <w:rsid w:val="00DE25A1"/>
    <w:rsid w:val="00DE480E"/>
    <w:rsid w:val="00DE48D1"/>
    <w:rsid w:val="00DE5A48"/>
    <w:rsid w:val="00DE5DBC"/>
    <w:rsid w:val="00DE66D0"/>
    <w:rsid w:val="00DE683B"/>
    <w:rsid w:val="00DE7189"/>
    <w:rsid w:val="00DE7783"/>
    <w:rsid w:val="00DE7926"/>
    <w:rsid w:val="00DE7BE6"/>
    <w:rsid w:val="00DF0983"/>
    <w:rsid w:val="00DF108F"/>
    <w:rsid w:val="00DF1E77"/>
    <w:rsid w:val="00DF2A49"/>
    <w:rsid w:val="00DF2D90"/>
    <w:rsid w:val="00DF35A6"/>
    <w:rsid w:val="00DF4149"/>
    <w:rsid w:val="00DF41B6"/>
    <w:rsid w:val="00DF4ED4"/>
    <w:rsid w:val="00DF5043"/>
    <w:rsid w:val="00DF5589"/>
    <w:rsid w:val="00DF69B8"/>
    <w:rsid w:val="00E002F1"/>
    <w:rsid w:val="00E007C2"/>
    <w:rsid w:val="00E01969"/>
    <w:rsid w:val="00E01C49"/>
    <w:rsid w:val="00E01E5D"/>
    <w:rsid w:val="00E02053"/>
    <w:rsid w:val="00E020E3"/>
    <w:rsid w:val="00E022DE"/>
    <w:rsid w:val="00E0247B"/>
    <w:rsid w:val="00E027FB"/>
    <w:rsid w:val="00E02F5E"/>
    <w:rsid w:val="00E030AC"/>
    <w:rsid w:val="00E03A6D"/>
    <w:rsid w:val="00E074A9"/>
    <w:rsid w:val="00E10244"/>
    <w:rsid w:val="00E10D8E"/>
    <w:rsid w:val="00E10EA8"/>
    <w:rsid w:val="00E10EB0"/>
    <w:rsid w:val="00E10F9B"/>
    <w:rsid w:val="00E113F4"/>
    <w:rsid w:val="00E1151E"/>
    <w:rsid w:val="00E11F8F"/>
    <w:rsid w:val="00E1202F"/>
    <w:rsid w:val="00E1259A"/>
    <w:rsid w:val="00E12648"/>
    <w:rsid w:val="00E1377F"/>
    <w:rsid w:val="00E14449"/>
    <w:rsid w:val="00E14857"/>
    <w:rsid w:val="00E14E90"/>
    <w:rsid w:val="00E157A5"/>
    <w:rsid w:val="00E171AB"/>
    <w:rsid w:val="00E20CE4"/>
    <w:rsid w:val="00E20D71"/>
    <w:rsid w:val="00E20FD9"/>
    <w:rsid w:val="00E218CA"/>
    <w:rsid w:val="00E22183"/>
    <w:rsid w:val="00E2279A"/>
    <w:rsid w:val="00E22938"/>
    <w:rsid w:val="00E22D67"/>
    <w:rsid w:val="00E22D95"/>
    <w:rsid w:val="00E22E8B"/>
    <w:rsid w:val="00E24034"/>
    <w:rsid w:val="00E2455B"/>
    <w:rsid w:val="00E2482B"/>
    <w:rsid w:val="00E248E5"/>
    <w:rsid w:val="00E24968"/>
    <w:rsid w:val="00E24A80"/>
    <w:rsid w:val="00E24C4C"/>
    <w:rsid w:val="00E24EEE"/>
    <w:rsid w:val="00E24F19"/>
    <w:rsid w:val="00E269BE"/>
    <w:rsid w:val="00E2797E"/>
    <w:rsid w:val="00E27F2A"/>
    <w:rsid w:val="00E27FB6"/>
    <w:rsid w:val="00E31912"/>
    <w:rsid w:val="00E31C30"/>
    <w:rsid w:val="00E32C17"/>
    <w:rsid w:val="00E3321D"/>
    <w:rsid w:val="00E3406F"/>
    <w:rsid w:val="00E40085"/>
    <w:rsid w:val="00E404FC"/>
    <w:rsid w:val="00E406CB"/>
    <w:rsid w:val="00E40980"/>
    <w:rsid w:val="00E40EBE"/>
    <w:rsid w:val="00E40F31"/>
    <w:rsid w:val="00E41DB3"/>
    <w:rsid w:val="00E43D8E"/>
    <w:rsid w:val="00E43F5D"/>
    <w:rsid w:val="00E44656"/>
    <w:rsid w:val="00E45B5F"/>
    <w:rsid w:val="00E45E29"/>
    <w:rsid w:val="00E466D5"/>
    <w:rsid w:val="00E467E2"/>
    <w:rsid w:val="00E468F6"/>
    <w:rsid w:val="00E50995"/>
    <w:rsid w:val="00E50BD3"/>
    <w:rsid w:val="00E52189"/>
    <w:rsid w:val="00E52FBB"/>
    <w:rsid w:val="00E53FA1"/>
    <w:rsid w:val="00E53FD2"/>
    <w:rsid w:val="00E548EA"/>
    <w:rsid w:val="00E55890"/>
    <w:rsid w:val="00E56A81"/>
    <w:rsid w:val="00E57568"/>
    <w:rsid w:val="00E57A61"/>
    <w:rsid w:val="00E60815"/>
    <w:rsid w:val="00E6093E"/>
    <w:rsid w:val="00E61006"/>
    <w:rsid w:val="00E623F5"/>
    <w:rsid w:val="00E6290C"/>
    <w:rsid w:val="00E62D04"/>
    <w:rsid w:val="00E62F73"/>
    <w:rsid w:val="00E64796"/>
    <w:rsid w:val="00E6575F"/>
    <w:rsid w:val="00E66249"/>
    <w:rsid w:val="00E66B96"/>
    <w:rsid w:val="00E66D2F"/>
    <w:rsid w:val="00E66D46"/>
    <w:rsid w:val="00E67006"/>
    <w:rsid w:val="00E6719E"/>
    <w:rsid w:val="00E674B4"/>
    <w:rsid w:val="00E700BB"/>
    <w:rsid w:val="00E7075F"/>
    <w:rsid w:val="00E70D74"/>
    <w:rsid w:val="00E71960"/>
    <w:rsid w:val="00E72C4F"/>
    <w:rsid w:val="00E72D1E"/>
    <w:rsid w:val="00E72DA5"/>
    <w:rsid w:val="00E73DF2"/>
    <w:rsid w:val="00E74027"/>
    <w:rsid w:val="00E741DD"/>
    <w:rsid w:val="00E749B9"/>
    <w:rsid w:val="00E74A39"/>
    <w:rsid w:val="00E74B68"/>
    <w:rsid w:val="00E74BB6"/>
    <w:rsid w:val="00E74DFB"/>
    <w:rsid w:val="00E752A1"/>
    <w:rsid w:val="00E75F3D"/>
    <w:rsid w:val="00E76133"/>
    <w:rsid w:val="00E7625B"/>
    <w:rsid w:val="00E764CE"/>
    <w:rsid w:val="00E76571"/>
    <w:rsid w:val="00E765F6"/>
    <w:rsid w:val="00E767C9"/>
    <w:rsid w:val="00E82176"/>
    <w:rsid w:val="00E82FD7"/>
    <w:rsid w:val="00E8350B"/>
    <w:rsid w:val="00E83528"/>
    <w:rsid w:val="00E83D91"/>
    <w:rsid w:val="00E84298"/>
    <w:rsid w:val="00E843FF"/>
    <w:rsid w:val="00E8442D"/>
    <w:rsid w:val="00E85FF2"/>
    <w:rsid w:val="00E86357"/>
    <w:rsid w:val="00E86D74"/>
    <w:rsid w:val="00E875CF"/>
    <w:rsid w:val="00E879B0"/>
    <w:rsid w:val="00E90700"/>
    <w:rsid w:val="00E9079E"/>
    <w:rsid w:val="00E90CF1"/>
    <w:rsid w:val="00E9100F"/>
    <w:rsid w:val="00E9119E"/>
    <w:rsid w:val="00E9149E"/>
    <w:rsid w:val="00E9172C"/>
    <w:rsid w:val="00E91BE4"/>
    <w:rsid w:val="00E92177"/>
    <w:rsid w:val="00E92909"/>
    <w:rsid w:val="00E92B4C"/>
    <w:rsid w:val="00E92EBF"/>
    <w:rsid w:val="00E93452"/>
    <w:rsid w:val="00E9366E"/>
    <w:rsid w:val="00E93AD8"/>
    <w:rsid w:val="00E942EF"/>
    <w:rsid w:val="00E9433E"/>
    <w:rsid w:val="00E9463E"/>
    <w:rsid w:val="00E94B88"/>
    <w:rsid w:val="00E94F1C"/>
    <w:rsid w:val="00E951B2"/>
    <w:rsid w:val="00E95275"/>
    <w:rsid w:val="00E96991"/>
    <w:rsid w:val="00E97228"/>
    <w:rsid w:val="00E97A22"/>
    <w:rsid w:val="00EA08F2"/>
    <w:rsid w:val="00EA122A"/>
    <w:rsid w:val="00EA1584"/>
    <w:rsid w:val="00EA2870"/>
    <w:rsid w:val="00EA2A28"/>
    <w:rsid w:val="00EA2EE3"/>
    <w:rsid w:val="00EA318B"/>
    <w:rsid w:val="00EA39A4"/>
    <w:rsid w:val="00EA40B9"/>
    <w:rsid w:val="00EA4343"/>
    <w:rsid w:val="00EA4D47"/>
    <w:rsid w:val="00EA5799"/>
    <w:rsid w:val="00EA5A2B"/>
    <w:rsid w:val="00EA5D55"/>
    <w:rsid w:val="00EA68ED"/>
    <w:rsid w:val="00EA69F6"/>
    <w:rsid w:val="00EA73B8"/>
    <w:rsid w:val="00EB05D4"/>
    <w:rsid w:val="00EB176C"/>
    <w:rsid w:val="00EB1D13"/>
    <w:rsid w:val="00EB283A"/>
    <w:rsid w:val="00EB28D1"/>
    <w:rsid w:val="00EB350A"/>
    <w:rsid w:val="00EB429C"/>
    <w:rsid w:val="00EB4644"/>
    <w:rsid w:val="00EB4D95"/>
    <w:rsid w:val="00EB6320"/>
    <w:rsid w:val="00EB6369"/>
    <w:rsid w:val="00EB6767"/>
    <w:rsid w:val="00EB6798"/>
    <w:rsid w:val="00EB6E7E"/>
    <w:rsid w:val="00EB79CA"/>
    <w:rsid w:val="00EB7CA2"/>
    <w:rsid w:val="00EB7D50"/>
    <w:rsid w:val="00EC0332"/>
    <w:rsid w:val="00EC0459"/>
    <w:rsid w:val="00EC0BCD"/>
    <w:rsid w:val="00EC105C"/>
    <w:rsid w:val="00EC114C"/>
    <w:rsid w:val="00EC11E0"/>
    <w:rsid w:val="00EC1376"/>
    <w:rsid w:val="00EC1480"/>
    <w:rsid w:val="00EC1CA0"/>
    <w:rsid w:val="00EC1DEE"/>
    <w:rsid w:val="00EC2393"/>
    <w:rsid w:val="00EC261A"/>
    <w:rsid w:val="00EC29F5"/>
    <w:rsid w:val="00EC321B"/>
    <w:rsid w:val="00EC35E8"/>
    <w:rsid w:val="00EC3795"/>
    <w:rsid w:val="00EC47B0"/>
    <w:rsid w:val="00EC4D6D"/>
    <w:rsid w:val="00EC53CC"/>
    <w:rsid w:val="00EC5452"/>
    <w:rsid w:val="00EC57CA"/>
    <w:rsid w:val="00EC5875"/>
    <w:rsid w:val="00EC6086"/>
    <w:rsid w:val="00EC773B"/>
    <w:rsid w:val="00EC7C72"/>
    <w:rsid w:val="00ED0172"/>
    <w:rsid w:val="00ED069D"/>
    <w:rsid w:val="00ED0F0C"/>
    <w:rsid w:val="00ED0F33"/>
    <w:rsid w:val="00ED136C"/>
    <w:rsid w:val="00ED139B"/>
    <w:rsid w:val="00ED21A8"/>
    <w:rsid w:val="00ED2A4F"/>
    <w:rsid w:val="00ED321D"/>
    <w:rsid w:val="00ED3DF9"/>
    <w:rsid w:val="00ED435B"/>
    <w:rsid w:val="00ED45E2"/>
    <w:rsid w:val="00ED4FAF"/>
    <w:rsid w:val="00ED546E"/>
    <w:rsid w:val="00ED5F52"/>
    <w:rsid w:val="00ED6133"/>
    <w:rsid w:val="00ED6A41"/>
    <w:rsid w:val="00EE08F2"/>
    <w:rsid w:val="00EE09F8"/>
    <w:rsid w:val="00EE0D97"/>
    <w:rsid w:val="00EE0F18"/>
    <w:rsid w:val="00EE21E5"/>
    <w:rsid w:val="00EE2D2F"/>
    <w:rsid w:val="00EE337C"/>
    <w:rsid w:val="00EE3495"/>
    <w:rsid w:val="00EE36C1"/>
    <w:rsid w:val="00EE377B"/>
    <w:rsid w:val="00EE3CF4"/>
    <w:rsid w:val="00EE459F"/>
    <w:rsid w:val="00EE4F32"/>
    <w:rsid w:val="00EE56F8"/>
    <w:rsid w:val="00EE5EAE"/>
    <w:rsid w:val="00EE62FB"/>
    <w:rsid w:val="00EE6AAA"/>
    <w:rsid w:val="00EE6AD7"/>
    <w:rsid w:val="00EE6D83"/>
    <w:rsid w:val="00EE7693"/>
    <w:rsid w:val="00EF06B5"/>
    <w:rsid w:val="00EF1120"/>
    <w:rsid w:val="00EF1124"/>
    <w:rsid w:val="00EF1681"/>
    <w:rsid w:val="00EF1B6B"/>
    <w:rsid w:val="00EF234E"/>
    <w:rsid w:val="00EF29FF"/>
    <w:rsid w:val="00EF2F89"/>
    <w:rsid w:val="00EF2FF7"/>
    <w:rsid w:val="00EF4467"/>
    <w:rsid w:val="00EF4A98"/>
    <w:rsid w:val="00EF5015"/>
    <w:rsid w:val="00EF5116"/>
    <w:rsid w:val="00EF5464"/>
    <w:rsid w:val="00EF5793"/>
    <w:rsid w:val="00EF5DAB"/>
    <w:rsid w:val="00EF6C6C"/>
    <w:rsid w:val="00EF7247"/>
    <w:rsid w:val="00EF7785"/>
    <w:rsid w:val="00F00910"/>
    <w:rsid w:val="00F00D9A"/>
    <w:rsid w:val="00F00DF0"/>
    <w:rsid w:val="00F0214B"/>
    <w:rsid w:val="00F024BC"/>
    <w:rsid w:val="00F02B6F"/>
    <w:rsid w:val="00F02FEE"/>
    <w:rsid w:val="00F04005"/>
    <w:rsid w:val="00F04DA9"/>
    <w:rsid w:val="00F05361"/>
    <w:rsid w:val="00F05565"/>
    <w:rsid w:val="00F055D6"/>
    <w:rsid w:val="00F0610A"/>
    <w:rsid w:val="00F0628D"/>
    <w:rsid w:val="00F06447"/>
    <w:rsid w:val="00F0674A"/>
    <w:rsid w:val="00F07741"/>
    <w:rsid w:val="00F10508"/>
    <w:rsid w:val="00F10509"/>
    <w:rsid w:val="00F10C66"/>
    <w:rsid w:val="00F10DDE"/>
    <w:rsid w:val="00F111AA"/>
    <w:rsid w:val="00F11257"/>
    <w:rsid w:val="00F114EF"/>
    <w:rsid w:val="00F124D3"/>
    <w:rsid w:val="00F139EB"/>
    <w:rsid w:val="00F13CF1"/>
    <w:rsid w:val="00F13D5D"/>
    <w:rsid w:val="00F13DDE"/>
    <w:rsid w:val="00F14663"/>
    <w:rsid w:val="00F147F2"/>
    <w:rsid w:val="00F15077"/>
    <w:rsid w:val="00F15D6B"/>
    <w:rsid w:val="00F1617A"/>
    <w:rsid w:val="00F161FE"/>
    <w:rsid w:val="00F16862"/>
    <w:rsid w:val="00F1725C"/>
    <w:rsid w:val="00F178DC"/>
    <w:rsid w:val="00F17D1A"/>
    <w:rsid w:val="00F17D5F"/>
    <w:rsid w:val="00F201A7"/>
    <w:rsid w:val="00F20886"/>
    <w:rsid w:val="00F20C94"/>
    <w:rsid w:val="00F20CBF"/>
    <w:rsid w:val="00F20E4C"/>
    <w:rsid w:val="00F20FFF"/>
    <w:rsid w:val="00F21A55"/>
    <w:rsid w:val="00F21B1C"/>
    <w:rsid w:val="00F22822"/>
    <w:rsid w:val="00F2301F"/>
    <w:rsid w:val="00F2335E"/>
    <w:rsid w:val="00F2349F"/>
    <w:rsid w:val="00F235B6"/>
    <w:rsid w:val="00F23667"/>
    <w:rsid w:val="00F239D5"/>
    <w:rsid w:val="00F23A13"/>
    <w:rsid w:val="00F24252"/>
    <w:rsid w:val="00F245B6"/>
    <w:rsid w:val="00F25347"/>
    <w:rsid w:val="00F256EF"/>
    <w:rsid w:val="00F25F36"/>
    <w:rsid w:val="00F2612E"/>
    <w:rsid w:val="00F2654F"/>
    <w:rsid w:val="00F27362"/>
    <w:rsid w:val="00F276B9"/>
    <w:rsid w:val="00F30D68"/>
    <w:rsid w:val="00F31006"/>
    <w:rsid w:val="00F316C1"/>
    <w:rsid w:val="00F319D3"/>
    <w:rsid w:val="00F319EA"/>
    <w:rsid w:val="00F31B55"/>
    <w:rsid w:val="00F322B6"/>
    <w:rsid w:val="00F3291F"/>
    <w:rsid w:val="00F332CC"/>
    <w:rsid w:val="00F33C91"/>
    <w:rsid w:val="00F33EBB"/>
    <w:rsid w:val="00F349DC"/>
    <w:rsid w:val="00F34A55"/>
    <w:rsid w:val="00F350A0"/>
    <w:rsid w:val="00F351EA"/>
    <w:rsid w:val="00F362F5"/>
    <w:rsid w:val="00F36310"/>
    <w:rsid w:val="00F36704"/>
    <w:rsid w:val="00F36719"/>
    <w:rsid w:val="00F37393"/>
    <w:rsid w:val="00F3781A"/>
    <w:rsid w:val="00F37BFC"/>
    <w:rsid w:val="00F37FA9"/>
    <w:rsid w:val="00F402B5"/>
    <w:rsid w:val="00F4093E"/>
    <w:rsid w:val="00F40CBB"/>
    <w:rsid w:val="00F40EB7"/>
    <w:rsid w:val="00F410B7"/>
    <w:rsid w:val="00F41432"/>
    <w:rsid w:val="00F425F5"/>
    <w:rsid w:val="00F43B09"/>
    <w:rsid w:val="00F45297"/>
    <w:rsid w:val="00F452F9"/>
    <w:rsid w:val="00F4544A"/>
    <w:rsid w:val="00F45C8A"/>
    <w:rsid w:val="00F46CD4"/>
    <w:rsid w:val="00F46E9F"/>
    <w:rsid w:val="00F5031E"/>
    <w:rsid w:val="00F5045F"/>
    <w:rsid w:val="00F509DF"/>
    <w:rsid w:val="00F512C1"/>
    <w:rsid w:val="00F513D8"/>
    <w:rsid w:val="00F51557"/>
    <w:rsid w:val="00F51ED4"/>
    <w:rsid w:val="00F52373"/>
    <w:rsid w:val="00F527F8"/>
    <w:rsid w:val="00F53355"/>
    <w:rsid w:val="00F536E6"/>
    <w:rsid w:val="00F54256"/>
    <w:rsid w:val="00F55EC9"/>
    <w:rsid w:val="00F560AD"/>
    <w:rsid w:val="00F564C0"/>
    <w:rsid w:val="00F56AC7"/>
    <w:rsid w:val="00F56EF9"/>
    <w:rsid w:val="00F56F39"/>
    <w:rsid w:val="00F574BE"/>
    <w:rsid w:val="00F6052E"/>
    <w:rsid w:val="00F607F8"/>
    <w:rsid w:val="00F60F89"/>
    <w:rsid w:val="00F610F9"/>
    <w:rsid w:val="00F61872"/>
    <w:rsid w:val="00F635D6"/>
    <w:rsid w:val="00F639E8"/>
    <w:rsid w:val="00F657A4"/>
    <w:rsid w:val="00F658BF"/>
    <w:rsid w:val="00F65BE1"/>
    <w:rsid w:val="00F65BFA"/>
    <w:rsid w:val="00F65D69"/>
    <w:rsid w:val="00F6634B"/>
    <w:rsid w:val="00F66876"/>
    <w:rsid w:val="00F66A08"/>
    <w:rsid w:val="00F66C37"/>
    <w:rsid w:val="00F6779B"/>
    <w:rsid w:val="00F67C7C"/>
    <w:rsid w:val="00F7037B"/>
    <w:rsid w:val="00F70687"/>
    <w:rsid w:val="00F7148F"/>
    <w:rsid w:val="00F71F20"/>
    <w:rsid w:val="00F7214F"/>
    <w:rsid w:val="00F7250B"/>
    <w:rsid w:val="00F7250D"/>
    <w:rsid w:val="00F72926"/>
    <w:rsid w:val="00F72CB9"/>
    <w:rsid w:val="00F72D92"/>
    <w:rsid w:val="00F73545"/>
    <w:rsid w:val="00F73750"/>
    <w:rsid w:val="00F73EAD"/>
    <w:rsid w:val="00F7417A"/>
    <w:rsid w:val="00F74976"/>
    <w:rsid w:val="00F74D84"/>
    <w:rsid w:val="00F75390"/>
    <w:rsid w:val="00F75F79"/>
    <w:rsid w:val="00F764A4"/>
    <w:rsid w:val="00F800F6"/>
    <w:rsid w:val="00F814A8"/>
    <w:rsid w:val="00F82ADD"/>
    <w:rsid w:val="00F83605"/>
    <w:rsid w:val="00F8368A"/>
    <w:rsid w:val="00F838B1"/>
    <w:rsid w:val="00F84DC9"/>
    <w:rsid w:val="00F85137"/>
    <w:rsid w:val="00F8548E"/>
    <w:rsid w:val="00F856FC"/>
    <w:rsid w:val="00F85DB7"/>
    <w:rsid w:val="00F86BE9"/>
    <w:rsid w:val="00F8703D"/>
    <w:rsid w:val="00F8726A"/>
    <w:rsid w:val="00F90812"/>
    <w:rsid w:val="00F90E9A"/>
    <w:rsid w:val="00F91377"/>
    <w:rsid w:val="00F9227D"/>
    <w:rsid w:val="00F927BC"/>
    <w:rsid w:val="00F9318B"/>
    <w:rsid w:val="00F931A1"/>
    <w:rsid w:val="00F931AA"/>
    <w:rsid w:val="00F9371C"/>
    <w:rsid w:val="00F944B8"/>
    <w:rsid w:val="00F94581"/>
    <w:rsid w:val="00F94A74"/>
    <w:rsid w:val="00F95796"/>
    <w:rsid w:val="00F95BBA"/>
    <w:rsid w:val="00F95EC6"/>
    <w:rsid w:val="00F961D4"/>
    <w:rsid w:val="00F96382"/>
    <w:rsid w:val="00F96770"/>
    <w:rsid w:val="00F96F91"/>
    <w:rsid w:val="00F9769F"/>
    <w:rsid w:val="00F97DEB"/>
    <w:rsid w:val="00FA023F"/>
    <w:rsid w:val="00FA182B"/>
    <w:rsid w:val="00FA23BD"/>
    <w:rsid w:val="00FA32F1"/>
    <w:rsid w:val="00FA3A9D"/>
    <w:rsid w:val="00FA4002"/>
    <w:rsid w:val="00FA41E1"/>
    <w:rsid w:val="00FA4998"/>
    <w:rsid w:val="00FA4FFD"/>
    <w:rsid w:val="00FA500C"/>
    <w:rsid w:val="00FA5619"/>
    <w:rsid w:val="00FA5653"/>
    <w:rsid w:val="00FA6124"/>
    <w:rsid w:val="00FA649B"/>
    <w:rsid w:val="00FA66F0"/>
    <w:rsid w:val="00FA6792"/>
    <w:rsid w:val="00FB095A"/>
    <w:rsid w:val="00FB0C34"/>
    <w:rsid w:val="00FB0D1F"/>
    <w:rsid w:val="00FB0D44"/>
    <w:rsid w:val="00FB0ED3"/>
    <w:rsid w:val="00FB1434"/>
    <w:rsid w:val="00FB17E9"/>
    <w:rsid w:val="00FB1A5C"/>
    <w:rsid w:val="00FB25E8"/>
    <w:rsid w:val="00FB31DB"/>
    <w:rsid w:val="00FB3381"/>
    <w:rsid w:val="00FB3802"/>
    <w:rsid w:val="00FB3A43"/>
    <w:rsid w:val="00FB3A4B"/>
    <w:rsid w:val="00FB3E6F"/>
    <w:rsid w:val="00FB4436"/>
    <w:rsid w:val="00FB4A6C"/>
    <w:rsid w:val="00FB4AFD"/>
    <w:rsid w:val="00FB4E52"/>
    <w:rsid w:val="00FB4FAB"/>
    <w:rsid w:val="00FB57EE"/>
    <w:rsid w:val="00FB5ABA"/>
    <w:rsid w:val="00FB5D52"/>
    <w:rsid w:val="00FB5D92"/>
    <w:rsid w:val="00FB66EC"/>
    <w:rsid w:val="00FB6E6F"/>
    <w:rsid w:val="00FB71BB"/>
    <w:rsid w:val="00FB71C4"/>
    <w:rsid w:val="00FB72FE"/>
    <w:rsid w:val="00FB7696"/>
    <w:rsid w:val="00FB7DC8"/>
    <w:rsid w:val="00FB7E6F"/>
    <w:rsid w:val="00FC02AA"/>
    <w:rsid w:val="00FC0F15"/>
    <w:rsid w:val="00FC14A0"/>
    <w:rsid w:val="00FC15BA"/>
    <w:rsid w:val="00FC23C7"/>
    <w:rsid w:val="00FC28BF"/>
    <w:rsid w:val="00FC2C54"/>
    <w:rsid w:val="00FC2CA9"/>
    <w:rsid w:val="00FC2DDA"/>
    <w:rsid w:val="00FC2E8B"/>
    <w:rsid w:val="00FC4BB8"/>
    <w:rsid w:val="00FC4FF7"/>
    <w:rsid w:val="00FC5014"/>
    <w:rsid w:val="00FC5745"/>
    <w:rsid w:val="00FC6A12"/>
    <w:rsid w:val="00FC703D"/>
    <w:rsid w:val="00FC7AAE"/>
    <w:rsid w:val="00FD0966"/>
    <w:rsid w:val="00FD194D"/>
    <w:rsid w:val="00FD1E3C"/>
    <w:rsid w:val="00FD2BFD"/>
    <w:rsid w:val="00FD3135"/>
    <w:rsid w:val="00FD39E8"/>
    <w:rsid w:val="00FD3E17"/>
    <w:rsid w:val="00FD5C92"/>
    <w:rsid w:val="00FD5D66"/>
    <w:rsid w:val="00FD619E"/>
    <w:rsid w:val="00FD68DC"/>
    <w:rsid w:val="00FD68E1"/>
    <w:rsid w:val="00FD6DBA"/>
    <w:rsid w:val="00FD7123"/>
    <w:rsid w:val="00FE0B11"/>
    <w:rsid w:val="00FE0F55"/>
    <w:rsid w:val="00FE11FE"/>
    <w:rsid w:val="00FE26D6"/>
    <w:rsid w:val="00FE29A1"/>
    <w:rsid w:val="00FE2EF3"/>
    <w:rsid w:val="00FE364B"/>
    <w:rsid w:val="00FE39D7"/>
    <w:rsid w:val="00FE504A"/>
    <w:rsid w:val="00FE5233"/>
    <w:rsid w:val="00FE6917"/>
    <w:rsid w:val="00FE7042"/>
    <w:rsid w:val="00FE7620"/>
    <w:rsid w:val="00FE7875"/>
    <w:rsid w:val="00FE79BB"/>
    <w:rsid w:val="00FE7DAD"/>
    <w:rsid w:val="00FF04EE"/>
    <w:rsid w:val="00FF1E22"/>
    <w:rsid w:val="00FF202F"/>
    <w:rsid w:val="00FF232E"/>
    <w:rsid w:val="00FF2593"/>
    <w:rsid w:val="00FF2678"/>
    <w:rsid w:val="00FF26FE"/>
    <w:rsid w:val="00FF2B0D"/>
    <w:rsid w:val="00FF2E5C"/>
    <w:rsid w:val="00FF2EB4"/>
    <w:rsid w:val="00FF34CA"/>
    <w:rsid w:val="00FF3A41"/>
    <w:rsid w:val="00FF40D9"/>
    <w:rsid w:val="00FF4692"/>
    <w:rsid w:val="00FF4920"/>
    <w:rsid w:val="00FF68BF"/>
    <w:rsid w:val="00FF6903"/>
    <w:rsid w:val="00FF6C0A"/>
    <w:rsid w:val="00FF7D1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01">
      <o:colormenu v:ext="edit" strokecolor="none [2109]"/>
    </o:shapedefaults>
    <o:shapelayout v:ext="edit">
      <o:idmap v:ext="edit" data="1"/>
      <o:rules v:ext="edit">
        <o:r id="V:Rule2" type="connector" idref="#_x0000_s102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54AFF"/>
    <w:pPr>
      <w:widowControl w:val="0"/>
      <w:suppressAutoHyphens/>
    </w:pPr>
    <w:rPr>
      <w:rFonts w:eastAsia="Lucida Sans Unicode"/>
      <w:kern w:val="1"/>
      <w:sz w:val="24"/>
      <w:szCs w:val="24"/>
      <w:lang w:val="es-ES" w:eastAsia="es-UY"/>
    </w:rPr>
  </w:style>
  <w:style w:type="paragraph" w:styleId="Ttulo1">
    <w:name w:val="heading 1"/>
    <w:basedOn w:val="Normal"/>
    <w:next w:val="Normal"/>
    <w:qFormat/>
    <w:rsid w:val="00054AFF"/>
    <w:pPr>
      <w:keepNext/>
      <w:numPr>
        <w:numId w:val="1"/>
      </w:numPr>
      <w:spacing w:before="240" w:after="60"/>
      <w:outlineLvl w:val="0"/>
    </w:pPr>
    <w:rPr>
      <w:rFonts w:ascii="Arial" w:hAnsi="Arial"/>
      <w:b/>
      <w:sz w:val="28"/>
    </w:rPr>
  </w:style>
  <w:style w:type="paragraph" w:styleId="Ttulo2">
    <w:name w:val="heading 2"/>
    <w:basedOn w:val="Normal"/>
    <w:next w:val="Normal"/>
    <w:link w:val="Ttulo2Car"/>
    <w:uiPriority w:val="9"/>
    <w:qFormat/>
    <w:rsid w:val="002D5A94"/>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qFormat/>
    <w:rsid w:val="00054AFF"/>
    <w:pPr>
      <w:keepNext/>
      <w:numPr>
        <w:ilvl w:val="2"/>
        <w:numId w:val="1"/>
      </w:numPr>
      <w:spacing w:before="240" w:after="240"/>
      <w:outlineLvl w:val="2"/>
    </w:pPr>
    <w:rPr>
      <w:rFonts w:ascii="Univers" w:hAnsi="Univers"/>
      <w:i/>
      <w:sz w:val="28"/>
    </w:rPr>
  </w:style>
  <w:style w:type="paragraph" w:styleId="Ttulo4">
    <w:name w:val="heading 4"/>
    <w:basedOn w:val="Normal"/>
    <w:next w:val="Normal"/>
    <w:link w:val="Ttulo4Car"/>
    <w:uiPriority w:val="9"/>
    <w:qFormat/>
    <w:rsid w:val="002D5A94"/>
    <w:pPr>
      <w:keepNext/>
      <w:spacing w:before="240" w:after="60"/>
      <w:outlineLvl w:val="3"/>
    </w:pPr>
    <w:rPr>
      <w:rFonts w:ascii="Calibri" w:eastAsia="Times New Roman" w:hAnsi="Calibri"/>
      <w:b/>
      <w:bCs/>
      <w:sz w:val="28"/>
      <w:szCs w:val="28"/>
    </w:rPr>
  </w:style>
  <w:style w:type="paragraph" w:styleId="Ttulo5">
    <w:name w:val="heading 5"/>
    <w:basedOn w:val="Normal"/>
    <w:next w:val="Normal"/>
    <w:link w:val="Ttulo5Car"/>
    <w:uiPriority w:val="9"/>
    <w:qFormat/>
    <w:rsid w:val="002D5A94"/>
    <w:p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iPriority w:val="9"/>
    <w:qFormat/>
    <w:rsid w:val="002D5A94"/>
    <w:pPr>
      <w:spacing w:before="240" w:after="60"/>
      <w:outlineLvl w:val="5"/>
    </w:pPr>
    <w:rPr>
      <w:rFonts w:ascii="Calibri" w:eastAsia="Times New Roman" w:hAnsi="Calibri"/>
      <w:b/>
      <w:bCs/>
      <w:sz w:val="22"/>
      <w:szCs w:val="22"/>
    </w:rPr>
  </w:style>
  <w:style w:type="paragraph" w:styleId="Ttulo7">
    <w:name w:val="heading 7"/>
    <w:basedOn w:val="Normal"/>
    <w:next w:val="Normal"/>
    <w:link w:val="Ttulo7Car"/>
    <w:uiPriority w:val="9"/>
    <w:qFormat/>
    <w:rsid w:val="002D5A94"/>
    <w:pPr>
      <w:spacing w:before="240" w:after="60"/>
      <w:outlineLvl w:val="6"/>
    </w:pPr>
    <w:rPr>
      <w:rFonts w:ascii="Calibri" w:eastAsia="Times New Roman" w:hAnsi="Calibri"/>
    </w:rPr>
  </w:style>
  <w:style w:type="paragraph" w:styleId="Ttulo8">
    <w:name w:val="heading 8"/>
    <w:basedOn w:val="Normal"/>
    <w:next w:val="Normal"/>
    <w:link w:val="Ttulo8Car"/>
    <w:uiPriority w:val="9"/>
    <w:qFormat/>
    <w:rsid w:val="002D5A94"/>
    <w:pPr>
      <w:spacing w:before="240" w:after="60"/>
      <w:outlineLvl w:val="7"/>
    </w:pPr>
    <w:rPr>
      <w:rFonts w:ascii="Calibri" w:eastAsia="Times New Roman" w:hAnsi="Calibri"/>
      <w:i/>
      <w:iCs/>
    </w:rPr>
  </w:style>
  <w:style w:type="paragraph" w:styleId="Ttulo9">
    <w:name w:val="heading 9"/>
    <w:basedOn w:val="Normal"/>
    <w:next w:val="Normal"/>
    <w:link w:val="Ttulo9Car"/>
    <w:uiPriority w:val="9"/>
    <w:qFormat/>
    <w:rsid w:val="002D5A94"/>
    <w:pPr>
      <w:spacing w:before="240" w:after="60"/>
      <w:outlineLvl w:val="8"/>
    </w:pPr>
    <w:rPr>
      <w:rFonts w:ascii="Cambria" w:eastAsia="Times New Roman"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rsid w:val="00054AFF"/>
  </w:style>
  <w:style w:type="character" w:customStyle="1" w:styleId="WW-Absatz-Standardschriftart">
    <w:name w:val="WW-Absatz-Standardschriftart"/>
    <w:rsid w:val="00054AFF"/>
  </w:style>
  <w:style w:type="character" w:customStyle="1" w:styleId="WW-Absatz-Standardschriftart1">
    <w:name w:val="WW-Absatz-Standardschriftart1"/>
    <w:rsid w:val="00054AFF"/>
  </w:style>
  <w:style w:type="character" w:customStyle="1" w:styleId="Fuentedeprrafopredeter1">
    <w:name w:val="Fuente de párrafo predeter.1"/>
    <w:rsid w:val="00054AFF"/>
  </w:style>
  <w:style w:type="character" w:styleId="Nmerodepgina">
    <w:name w:val="page number"/>
    <w:basedOn w:val="Fuentedeprrafopredeter1"/>
    <w:rsid w:val="00054AFF"/>
  </w:style>
  <w:style w:type="character" w:styleId="Refdenotaalpie">
    <w:name w:val="footnote reference"/>
    <w:uiPriority w:val="99"/>
    <w:rsid w:val="00054AFF"/>
    <w:rPr>
      <w:vertAlign w:val="superscript"/>
    </w:rPr>
  </w:style>
  <w:style w:type="character" w:customStyle="1" w:styleId="Smbolodenotaalpie">
    <w:name w:val="Símbolo de nota al pie"/>
    <w:basedOn w:val="Fuentedeprrafopredeter1"/>
    <w:rsid w:val="00054AFF"/>
    <w:rPr>
      <w:vertAlign w:val="superscript"/>
    </w:rPr>
  </w:style>
  <w:style w:type="character" w:styleId="Refdenotaalfinal">
    <w:name w:val="endnote reference"/>
    <w:rsid w:val="00054AFF"/>
    <w:rPr>
      <w:vertAlign w:val="superscript"/>
    </w:rPr>
  </w:style>
  <w:style w:type="character" w:customStyle="1" w:styleId="Smbolodenotafinal">
    <w:name w:val="Símbolo de nota final"/>
    <w:rsid w:val="00054AFF"/>
  </w:style>
  <w:style w:type="paragraph" w:customStyle="1" w:styleId="Encabezado1">
    <w:name w:val="Encabezado1"/>
    <w:basedOn w:val="Normal"/>
    <w:next w:val="Textoindependiente"/>
    <w:rsid w:val="00054AFF"/>
    <w:pPr>
      <w:keepNext/>
      <w:spacing w:before="240" w:after="120"/>
    </w:pPr>
    <w:rPr>
      <w:rFonts w:ascii="Arial" w:hAnsi="Arial" w:cs="Tahoma"/>
      <w:sz w:val="28"/>
      <w:szCs w:val="28"/>
    </w:rPr>
  </w:style>
  <w:style w:type="paragraph" w:styleId="Textoindependiente">
    <w:name w:val="Body Text"/>
    <w:basedOn w:val="Normal"/>
    <w:link w:val="TextoindependienteCar"/>
    <w:rsid w:val="00054AFF"/>
    <w:pPr>
      <w:spacing w:after="120"/>
    </w:pPr>
  </w:style>
  <w:style w:type="paragraph" w:styleId="Lista">
    <w:name w:val="List"/>
    <w:basedOn w:val="Textoindependiente"/>
    <w:rsid w:val="00054AFF"/>
    <w:rPr>
      <w:rFonts w:cs="Tahoma"/>
    </w:rPr>
  </w:style>
  <w:style w:type="paragraph" w:customStyle="1" w:styleId="Etiqueta">
    <w:name w:val="Etiqueta"/>
    <w:basedOn w:val="Normal"/>
    <w:rsid w:val="00054AFF"/>
    <w:pPr>
      <w:suppressLineNumbers/>
      <w:spacing w:before="120" w:after="120"/>
    </w:pPr>
    <w:rPr>
      <w:rFonts w:cs="Tahoma"/>
      <w:i/>
      <w:iCs/>
    </w:rPr>
  </w:style>
  <w:style w:type="paragraph" w:customStyle="1" w:styleId="ndice">
    <w:name w:val="Índice"/>
    <w:basedOn w:val="Normal"/>
    <w:rsid w:val="00054AFF"/>
    <w:pPr>
      <w:suppressLineNumbers/>
    </w:pPr>
    <w:rPr>
      <w:rFonts w:cs="Tahoma"/>
    </w:rPr>
  </w:style>
  <w:style w:type="paragraph" w:styleId="Piedepgina">
    <w:name w:val="footer"/>
    <w:basedOn w:val="Normal"/>
    <w:rsid w:val="00054AFF"/>
    <w:pPr>
      <w:suppressLineNumbers/>
      <w:tabs>
        <w:tab w:val="center" w:pos="4035"/>
        <w:tab w:val="right" w:pos="8071"/>
      </w:tabs>
    </w:pPr>
  </w:style>
  <w:style w:type="paragraph" w:styleId="Encabezado">
    <w:name w:val="header"/>
    <w:basedOn w:val="Normal"/>
    <w:rsid w:val="00054AFF"/>
    <w:pPr>
      <w:suppressLineNumbers/>
      <w:tabs>
        <w:tab w:val="center" w:pos="4035"/>
        <w:tab w:val="right" w:pos="8071"/>
      </w:tabs>
    </w:pPr>
  </w:style>
  <w:style w:type="paragraph" w:customStyle="1" w:styleId="clavestexto">
    <w:name w:val="claves texto"/>
    <w:basedOn w:val="Ttulo1"/>
    <w:rsid w:val="00054AFF"/>
    <w:pPr>
      <w:keepNext w:val="0"/>
      <w:numPr>
        <w:numId w:val="0"/>
      </w:numPr>
      <w:spacing w:before="0" w:after="240"/>
      <w:jc w:val="both"/>
      <w:outlineLvl w:val="9"/>
    </w:pPr>
    <w:rPr>
      <w:rFonts w:ascii="Times New Roman" w:hAnsi="Times New Roman"/>
      <w:b w:val="0"/>
      <w:color w:val="000000"/>
      <w:sz w:val="24"/>
    </w:rPr>
  </w:style>
  <w:style w:type="paragraph" w:styleId="Textonotapie">
    <w:name w:val="footnote text"/>
    <w:basedOn w:val="Normal"/>
    <w:link w:val="TextonotapieCar"/>
    <w:uiPriority w:val="99"/>
    <w:rsid w:val="00054AFF"/>
    <w:pPr>
      <w:suppressLineNumbers/>
      <w:ind w:left="283" w:hanging="283"/>
    </w:pPr>
    <w:rPr>
      <w:sz w:val="20"/>
      <w:szCs w:val="20"/>
    </w:rPr>
  </w:style>
  <w:style w:type="paragraph" w:customStyle="1" w:styleId="Contenidodelatabla">
    <w:name w:val="Contenido de la tabla"/>
    <w:basedOn w:val="Normal"/>
    <w:rsid w:val="00054AFF"/>
    <w:pPr>
      <w:suppressLineNumbers/>
    </w:pPr>
  </w:style>
  <w:style w:type="paragraph" w:customStyle="1" w:styleId="Piedecuadro">
    <w:name w:val="Pie de cuadro"/>
    <w:basedOn w:val="Normal"/>
    <w:rsid w:val="005A1572"/>
    <w:pPr>
      <w:spacing w:line="360" w:lineRule="atLeast"/>
      <w:jc w:val="both"/>
      <w:textAlignment w:val="baseline"/>
    </w:pPr>
    <w:rPr>
      <w:lang w:val="es-UY"/>
    </w:rPr>
  </w:style>
  <w:style w:type="paragraph" w:styleId="Textodeglobo">
    <w:name w:val="Balloon Text"/>
    <w:basedOn w:val="Normal"/>
    <w:link w:val="TextodegloboCar"/>
    <w:uiPriority w:val="99"/>
    <w:semiHidden/>
    <w:unhideWhenUsed/>
    <w:rsid w:val="00D714D7"/>
    <w:rPr>
      <w:rFonts w:ascii="Tahoma" w:hAnsi="Tahoma" w:cs="Tahoma"/>
      <w:sz w:val="16"/>
      <w:szCs w:val="16"/>
    </w:rPr>
  </w:style>
  <w:style w:type="character" w:customStyle="1" w:styleId="TextodegloboCar">
    <w:name w:val="Texto de globo Car"/>
    <w:basedOn w:val="Fuentedeprrafopredeter"/>
    <w:link w:val="Textodeglobo"/>
    <w:uiPriority w:val="99"/>
    <w:semiHidden/>
    <w:rsid w:val="00D714D7"/>
    <w:rPr>
      <w:rFonts w:ascii="Tahoma" w:eastAsia="Lucida Sans Unicode" w:hAnsi="Tahoma" w:cs="Tahoma"/>
      <w:kern w:val="1"/>
      <w:sz w:val="16"/>
      <w:szCs w:val="16"/>
      <w:lang w:val="es-ES"/>
    </w:rPr>
  </w:style>
  <w:style w:type="paragraph" w:styleId="Prrafodelista">
    <w:name w:val="List Paragraph"/>
    <w:basedOn w:val="Normal"/>
    <w:uiPriority w:val="34"/>
    <w:qFormat/>
    <w:rsid w:val="005D26EB"/>
    <w:pPr>
      <w:ind w:left="720"/>
      <w:contextualSpacing/>
    </w:pPr>
  </w:style>
  <w:style w:type="paragraph" w:styleId="Textocomentario">
    <w:name w:val="annotation text"/>
    <w:basedOn w:val="Normal"/>
    <w:link w:val="TextocomentarioCar"/>
    <w:uiPriority w:val="99"/>
    <w:unhideWhenUsed/>
    <w:rsid w:val="002D5A94"/>
    <w:rPr>
      <w:sz w:val="20"/>
      <w:szCs w:val="20"/>
    </w:rPr>
  </w:style>
  <w:style w:type="character" w:customStyle="1" w:styleId="TextocomentarioCar">
    <w:name w:val="Texto comentario Car"/>
    <w:basedOn w:val="Fuentedeprrafopredeter"/>
    <w:link w:val="Textocomentario"/>
    <w:uiPriority w:val="99"/>
    <w:rsid w:val="002D5A94"/>
    <w:rPr>
      <w:rFonts w:eastAsia="Lucida Sans Unicode"/>
      <w:kern w:val="1"/>
      <w:lang w:val="es-ES"/>
    </w:rPr>
  </w:style>
  <w:style w:type="paragraph" w:styleId="Asuntodelcomentario">
    <w:name w:val="annotation subject"/>
    <w:basedOn w:val="Textocomentario"/>
    <w:next w:val="Textocomentario"/>
    <w:link w:val="AsuntodelcomentarioCar"/>
    <w:uiPriority w:val="99"/>
    <w:semiHidden/>
    <w:unhideWhenUsed/>
    <w:rsid w:val="002D5A94"/>
    <w:rPr>
      <w:b/>
      <w:bCs/>
    </w:rPr>
  </w:style>
  <w:style w:type="character" w:customStyle="1" w:styleId="AsuntodelcomentarioCar">
    <w:name w:val="Asunto del comentario Car"/>
    <w:basedOn w:val="TextocomentarioCar"/>
    <w:link w:val="Asuntodelcomentario"/>
    <w:uiPriority w:val="99"/>
    <w:semiHidden/>
    <w:rsid w:val="002D5A94"/>
    <w:rPr>
      <w:rFonts w:eastAsia="Lucida Sans Unicode"/>
      <w:b/>
      <w:bCs/>
      <w:kern w:val="1"/>
      <w:lang w:val="es-ES"/>
    </w:rPr>
  </w:style>
  <w:style w:type="paragraph" w:styleId="Bibliografa">
    <w:name w:val="Bibliography"/>
    <w:basedOn w:val="Normal"/>
    <w:next w:val="Normal"/>
    <w:uiPriority w:val="37"/>
    <w:semiHidden/>
    <w:unhideWhenUsed/>
    <w:rsid w:val="002D5A94"/>
  </w:style>
  <w:style w:type="paragraph" w:styleId="Cierre">
    <w:name w:val="Closing"/>
    <w:basedOn w:val="Normal"/>
    <w:link w:val="CierreCar"/>
    <w:uiPriority w:val="99"/>
    <w:semiHidden/>
    <w:unhideWhenUsed/>
    <w:rsid w:val="002D5A94"/>
    <w:pPr>
      <w:ind w:left="4252"/>
    </w:pPr>
  </w:style>
  <w:style w:type="character" w:customStyle="1" w:styleId="CierreCar">
    <w:name w:val="Cierre Car"/>
    <w:basedOn w:val="Fuentedeprrafopredeter"/>
    <w:link w:val="Cierre"/>
    <w:uiPriority w:val="99"/>
    <w:semiHidden/>
    <w:rsid w:val="002D5A94"/>
    <w:rPr>
      <w:rFonts w:eastAsia="Lucida Sans Unicode"/>
      <w:kern w:val="1"/>
      <w:sz w:val="24"/>
      <w:szCs w:val="24"/>
      <w:lang w:val="es-ES"/>
    </w:rPr>
  </w:style>
  <w:style w:type="paragraph" w:styleId="Cita">
    <w:name w:val="Quote"/>
    <w:basedOn w:val="Normal"/>
    <w:next w:val="Normal"/>
    <w:link w:val="CitaCar"/>
    <w:uiPriority w:val="29"/>
    <w:qFormat/>
    <w:rsid w:val="002D5A94"/>
    <w:rPr>
      <w:i/>
      <w:iCs/>
      <w:color w:val="000000"/>
    </w:rPr>
  </w:style>
  <w:style w:type="character" w:customStyle="1" w:styleId="CitaCar">
    <w:name w:val="Cita Car"/>
    <w:basedOn w:val="Fuentedeprrafopredeter"/>
    <w:link w:val="Cita"/>
    <w:uiPriority w:val="29"/>
    <w:rsid w:val="002D5A94"/>
    <w:rPr>
      <w:rFonts w:eastAsia="Lucida Sans Unicode"/>
      <w:i/>
      <w:iCs/>
      <w:color w:val="000000"/>
      <w:kern w:val="1"/>
      <w:sz w:val="24"/>
      <w:szCs w:val="24"/>
      <w:lang w:val="es-ES"/>
    </w:rPr>
  </w:style>
  <w:style w:type="paragraph" w:styleId="Citadestacada">
    <w:name w:val="Intense Quote"/>
    <w:basedOn w:val="Normal"/>
    <w:next w:val="Normal"/>
    <w:link w:val="CitadestacadaCar"/>
    <w:uiPriority w:val="30"/>
    <w:qFormat/>
    <w:rsid w:val="002D5A94"/>
    <w:pPr>
      <w:pBdr>
        <w:bottom w:val="single" w:sz="4" w:space="4" w:color="4F81BD"/>
      </w:pBdr>
      <w:spacing w:before="200" w:after="280"/>
      <w:ind w:left="936" w:right="936"/>
    </w:pPr>
    <w:rPr>
      <w:b/>
      <w:bCs/>
      <w:i/>
      <w:iCs/>
      <w:color w:val="4F81BD"/>
    </w:rPr>
  </w:style>
  <w:style w:type="character" w:customStyle="1" w:styleId="CitadestacadaCar">
    <w:name w:val="Cita destacada Car"/>
    <w:basedOn w:val="Fuentedeprrafopredeter"/>
    <w:link w:val="Citadestacada"/>
    <w:uiPriority w:val="30"/>
    <w:rsid w:val="002D5A94"/>
    <w:rPr>
      <w:rFonts w:eastAsia="Lucida Sans Unicode"/>
      <w:b/>
      <w:bCs/>
      <w:i/>
      <w:iCs/>
      <w:color w:val="4F81BD"/>
      <w:kern w:val="1"/>
      <w:sz w:val="24"/>
      <w:szCs w:val="24"/>
      <w:lang w:val="es-ES"/>
    </w:rPr>
  </w:style>
  <w:style w:type="paragraph" w:styleId="Continuarlista">
    <w:name w:val="List Continue"/>
    <w:basedOn w:val="Normal"/>
    <w:uiPriority w:val="99"/>
    <w:semiHidden/>
    <w:unhideWhenUsed/>
    <w:rsid w:val="002D5A94"/>
    <w:pPr>
      <w:spacing w:after="120"/>
      <w:ind w:left="283"/>
      <w:contextualSpacing/>
    </w:pPr>
  </w:style>
  <w:style w:type="paragraph" w:styleId="Continuarlista2">
    <w:name w:val="List Continue 2"/>
    <w:basedOn w:val="Normal"/>
    <w:uiPriority w:val="99"/>
    <w:semiHidden/>
    <w:unhideWhenUsed/>
    <w:rsid w:val="002D5A94"/>
    <w:pPr>
      <w:spacing w:after="120"/>
      <w:ind w:left="566"/>
      <w:contextualSpacing/>
    </w:pPr>
  </w:style>
  <w:style w:type="paragraph" w:styleId="Continuarlista3">
    <w:name w:val="List Continue 3"/>
    <w:basedOn w:val="Normal"/>
    <w:uiPriority w:val="99"/>
    <w:semiHidden/>
    <w:unhideWhenUsed/>
    <w:rsid w:val="002D5A94"/>
    <w:pPr>
      <w:spacing w:after="120"/>
      <w:ind w:left="849"/>
      <w:contextualSpacing/>
    </w:pPr>
  </w:style>
  <w:style w:type="paragraph" w:styleId="Continuarlista4">
    <w:name w:val="List Continue 4"/>
    <w:basedOn w:val="Normal"/>
    <w:uiPriority w:val="99"/>
    <w:semiHidden/>
    <w:unhideWhenUsed/>
    <w:rsid w:val="002D5A94"/>
    <w:pPr>
      <w:spacing w:after="120"/>
      <w:ind w:left="1132"/>
      <w:contextualSpacing/>
    </w:pPr>
  </w:style>
  <w:style w:type="paragraph" w:styleId="Continuarlista5">
    <w:name w:val="List Continue 5"/>
    <w:basedOn w:val="Normal"/>
    <w:uiPriority w:val="99"/>
    <w:semiHidden/>
    <w:unhideWhenUsed/>
    <w:rsid w:val="002D5A94"/>
    <w:pPr>
      <w:spacing w:after="120"/>
      <w:ind w:left="1415"/>
      <w:contextualSpacing/>
    </w:pPr>
  </w:style>
  <w:style w:type="paragraph" w:styleId="DireccinHTML">
    <w:name w:val="HTML Address"/>
    <w:basedOn w:val="Normal"/>
    <w:link w:val="DireccinHTMLCar"/>
    <w:uiPriority w:val="99"/>
    <w:semiHidden/>
    <w:unhideWhenUsed/>
    <w:rsid w:val="002D5A94"/>
    <w:rPr>
      <w:i/>
      <w:iCs/>
    </w:rPr>
  </w:style>
  <w:style w:type="character" w:customStyle="1" w:styleId="DireccinHTMLCar">
    <w:name w:val="Dirección HTML Car"/>
    <w:basedOn w:val="Fuentedeprrafopredeter"/>
    <w:link w:val="DireccinHTML"/>
    <w:uiPriority w:val="99"/>
    <w:semiHidden/>
    <w:rsid w:val="002D5A94"/>
    <w:rPr>
      <w:rFonts w:eastAsia="Lucida Sans Unicode"/>
      <w:i/>
      <w:iCs/>
      <w:kern w:val="1"/>
      <w:sz w:val="24"/>
      <w:szCs w:val="24"/>
      <w:lang w:val="es-ES"/>
    </w:rPr>
  </w:style>
  <w:style w:type="paragraph" w:styleId="Direccinsobre">
    <w:name w:val="envelope address"/>
    <w:basedOn w:val="Normal"/>
    <w:uiPriority w:val="99"/>
    <w:semiHidden/>
    <w:unhideWhenUsed/>
    <w:rsid w:val="002D5A94"/>
    <w:pPr>
      <w:framePr w:w="7920" w:h="1980" w:hRule="exact" w:hSpace="141" w:wrap="auto" w:hAnchor="page" w:xAlign="center" w:yAlign="bottom"/>
      <w:ind w:left="2880"/>
    </w:pPr>
    <w:rPr>
      <w:rFonts w:ascii="Cambria" w:eastAsia="Times New Roman" w:hAnsi="Cambria"/>
    </w:rPr>
  </w:style>
  <w:style w:type="paragraph" w:styleId="Encabezadodelista">
    <w:name w:val="toa heading"/>
    <w:basedOn w:val="Normal"/>
    <w:next w:val="Normal"/>
    <w:uiPriority w:val="99"/>
    <w:semiHidden/>
    <w:unhideWhenUsed/>
    <w:rsid w:val="002D5A94"/>
    <w:pPr>
      <w:spacing w:before="120"/>
    </w:pPr>
    <w:rPr>
      <w:rFonts w:ascii="Cambria" w:eastAsia="Times New Roman" w:hAnsi="Cambria"/>
      <w:b/>
      <w:bCs/>
    </w:rPr>
  </w:style>
  <w:style w:type="paragraph" w:styleId="Encabezadodemensaje">
    <w:name w:val="Message Header"/>
    <w:basedOn w:val="Normal"/>
    <w:link w:val="EncabezadodemensajeCar"/>
    <w:uiPriority w:val="99"/>
    <w:semiHidden/>
    <w:unhideWhenUsed/>
    <w:rsid w:val="002D5A94"/>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rPr>
  </w:style>
  <w:style w:type="character" w:customStyle="1" w:styleId="EncabezadodemensajeCar">
    <w:name w:val="Encabezado de mensaje Car"/>
    <w:basedOn w:val="Fuentedeprrafopredeter"/>
    <w:link w:val="Encabezadodemensaje"/>
    <w:uiPriority w:val="99"/>
    <w:semiHidden/>
    <w:rsid w:val="002D5A94"/>
    <w:rPr>
      <w:rFonts w:ascii="Cambria" w:eastAsia="Times New Roman" w:hAnsi="Cambria" w:cs="Times New Roman"/>
      <w:kern w:val="1"/>
      <w:sz w:val="24"/>
      <w:szCs w:val="24"/>
      <w:shd w:val="pct20" w:color="auto" w:fill="auto"/>
      <w:lang w:val="es-ES"/>
    </w:rPr>
  </w:style>
  <w:style w:type="paragraph" w:styleId="Encabezadodenota">
    <w:name w:val="Note Heading"/>
    <w:basedOn w:val="Normal"/>
    <w:next w:val="Normal"/>
    <w:link w:val="EncabezadodenotaCar"/>
    <w:uiPriority w:val="99"/>
    <w:semiHidden/>
    <w:unhideWhenUsed/>
    <w:rsid w:val="002D5A94"/>
  </w:style>
  <w:style w:type="character" w:customStyle="1" w:styleId="EncabezadodenotaCar">
    <w:name w:val="Encabezado de nota Car"/>
    <w:basedOn w:val="Fuentedeprrafopredeter"/>
    <w:link w:val="Encabezadodenota"/>
    <w:uiPriority w:val="99"/>
    <w:semiHidden/>
    <w:rsid w:val="002D5A94"/>
    <w:rPr>
      <w:rFonts w:eastAsia="Lucida Sans Unicode"/>
      <w:kern w:val="1"/>
      <w:sz w:val="24"/>
      <w:szCs w:val="24"/>
      <w:lang w:val="es-ES"/>
    </w:rPr>
  </w:style>
  <w:style w:type="paragraph" w:styleId="Epgrafe">
    <w:name w:val="caption"/>
    <w:basedOn w:val="Normal"/>
    <w:next w:val="Normal"/>
    <w:uiPriority w:val="35"/>
    <w:qFormat/>
    <w:rsid w:val="002D5A94"/>
    <w:rPr>
      <w:b/>
      <w:bCs/>
      <w:sz w:val="20"/>
      <w:szCs w:val="20"/>
    </w:rPr>
  </w:style>
  <w:style w:type="paragraph" w:styleId="Fecha">
    <w:name w:val="Date"/>
    <w:basedOn w:val="Normal"/>
    <w:next w:val="Normal"/>
    <w:link w:val="FechaCar"/>
    <w:uiPriority w:val="99"/>
    <w:semiHidden/>
    <w:unhideWhenUsed/>
    <w:rsid w:val="002D5A94"/>
  </w:style>
  <w:style w:type="character" w:customStyle="1" w:styleId="FechaCar">
    <w:name w:val="Fecha Car"/>
    <w:basedOn w:val="Fuentedeprrafopredeter"/>
    <w:link w:val="Fecha"/>
    <w:uiPriority w:val="99"/>
    <w:semiHidden/>
    <w:rsid w:val="002D5A94"/>
    <w:rPr>
      <w:rFonts w:eastAsia="Lucida Sans Unicode"/>
      <w:kern w:val="1"/>
      <w:sz w:val="24"/>
      <w:szCs w:val="24"/>
      <w:lang w:val="es-ES"/>
    </w:rPr>
  </w:style>
  <w:style w:type="paragraph" w:styleId="Firma">
    <w:name w:val="Signature"/>
    <w:basedOn w:val="Normal"/>
    <w:link w:val="FirmaCar"/>
    <w:uiPriority w:val="99"/>
    <w:semiHidden/>
    <w:unhideWhenUsed/>
    <w:rsid w:val="002D5A94"/>
    <w:pPr>
      <w:ind w:left="4252"/>
    </w:pPr>
  </w:style>
  <w:style w:type="character" w:customStyle="1" w:styleId="FirmaCar">
    <w:name w:val="Firma Car"/>
    <w:basedOn w:val="Fuentedeprrafopredeter"/>
    <w:link w:val="Firma"/>
    <w:uiPriority w:val="99"/>
    <w:semiHidden/>
    <w:rsid w:val="002D5A94"/>
    <w:rPr>
      <w:rFonts w:eastAsia="Lucida Sans Unicode"/>
      <w:kern w:val="1"/>
      <w:sz w:val="24"/>
      <w:szCs w:val="24"/>
      <w:lang w:val="es-ES"/>
    </w:rPr>
  </w:style>
  <w:style w:type="paragraph" w:styleId="Firmadecorreoelectrnico">
    <w:name w:val="E-mail Signature"/>
    <w:basedOn w:val="Normal"/>
    <w:link w:val="FirmadecorreoelectrnicoCar"/>
    <w:uiPriority w:val="99"/>
    <w:semiHidden/>
    <w:unhideWhenUsed/>
    <w:rsid w:val="002D5A94"/>
  </w:style>
  <w:style w:type="character" w:customStyle="1" w:styleId="FirmadecorreoelectrnicoCar">
    <w:name w:val="Firma de correo electrónico Car"/>
    <w:basedOn w:val="Fuentedeprrafopredeter"/>
    <w:link w:val="Firmadecorreoelectrnico"/>
    <w:uiPriority w:val="99"/>
    <w:semiHidden/>
    <w:rsid w:val="002D5A94"/>
    <w:rPr>
      <w:rFonts w:eastAsia="Lucida Sans Unicode"/>
      <w:kern w:val="1"/>
      <w:sz w:val="24"/>
      <w:szCs w:val="24"/>
      <w:lang w:val="es-ES"/>
    </w:rPr>
  </w:style>
  <w:style w:type="paragraph" w:styleId="HTMLconformatoprevio">
    <w:name w:val="HTML Preformatted"/>
    <w:basedOn w:val="Normal"/>
    <w:link w:val="HTMLconformatoprevioCar"/>
    <w:uiPriority w:val="99"/>
    <w:semiHidden/>
    <w:unhideWhenUsed/>
    <w:rsid w:val="002D5A94"/>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D5A94"/>
    <w:rPr>
      <w:rFonts w:ascii="Courier New" w:eastAsia="Lucida Sans Unicode" w:hAnsi="Courier New" w:cs="Courier New"/>
      <w:kern w:val="1"/>
      <w:lang w:val="es-ES"/>
    </w:rPr>
  </w:style>
  <w:style w:type="paragraph" w:styleId="ndice1">
    <w:name w:val="index 1"/>
    <w:basedOn w:val="Normal"/>
    <w:next w:val="Normal"/>
    <w:autoRedefine/>
    <w:uiPriority w:val="99"/>
    <w:semiHidden/>
    <w:unhideWhenUsed/>
    <w:rsid w:val="002D5A94"/>
    <w:pPr>
      <w:ind w:left="240" w:hanging="240"/>
    </w:pPr>
  </w:style>
  <w:style w:type="paragraph" w:styleId="ndice2">
    <w:name w:val="index 2"/>
    <w:basedOn w:val="Normal"/>
    <w:next w:val="Normal"/>
    <w:autoRedefine/>
    <w:uiPriority w:val="99"/>
    <w:semiHidden/>
    <w:unhideWhenUsed/>
    <w:rsid w:val="002D5A94"/>
    <w:pPr>
      <w:ind w:left="480" w:hanging="240"/>
    </w:pPr>
  </w:style>
  <w:style w:type="paragraph" w:styleId="ndice3">
    <w:name w:val="index 3"/>
    <w:basedOn w:val="Normal"/>
    <w:next w:val="Normal"/>
    <w:autoRedefine/>
    <w:uiPriority w:val="99"/>
    <w:semiHidden/>
    <w:unhideWhenUsed/>
    <w:rsid w:val="002D5A94"/>
    <w:pPr>
      <w:ind w:left="720" w:hanging="240"/>
    </w:pPr>
  </w:style>
  <w:style w:type="paragraph" w:styleId="ndice4">
    <w:name w:val="index 4"/>
    <w:basedOn w:val="Normal"/>
    <w:next w:val="Normal"/>
    <w:autoRedefine/>
    <w:uiPriority w:val="99"/>
    <w:semiHidden/>
    <w:unhideWhenUsed/>
    <w:rsid w:val="002D5A94"/>
    <w:pPr>
      <w:ind w:left="960" w:hanging="240"/>
    </w:pPr>
  </w:style>
  <w:style w:type="paragraph" w:styleId="ndice5">
    <w:name w:val="index 5"/>
    <w:basedOn w:val="Normal"/>
    <w:next w:val="Normal"/>
    <w:autoRedefine/>
    <w:uiPriority w:val="99"/>
    <w:semiHidden/>
    <w:unhideWhenUsed/>
    <w:rsid w:val="002D5A94"/>
    <w:pPr>
      <w:ind w:left="1200" w:hanging="240"/>
    </w:pPr>
  </w:style>
  <w:style w:type="paragraph" w:styleId="ndice6">
    <w:name w:val="index 6"/>
    <w:basedOn w:val="Normal"/>
    <w:next w:val="Normal"/>
    <w:autoRedefine/>
    <w:uiPriority w:val="99"/>
    <w:semiHidden/>
    <w:unhideWhenUsed/>
    <w:rsid w:val="002D5A94"/>
    <w:pPr>
      <w:ind w:left="1440" w:hanging="240"/>
    </w:pPr>
  </w:style>
  <w:style w:type="paragraph" w:styleId="ndice7">
    <w:name w:val="index 7"/>
    <w:basedOn w:val="Normal"/>
    <w:next w:val="Normal"/>
    <w:autoRedefine/>
    <w:uiPriority w:val="99"/>
    <w:semiHidden/>
    <w:unhideWhenUsed/>
    <w:rsid w:val="002D5A94"/>
    <w:pPr>
      <w:ind w:left="1680" w:hanging="240"/>
    </w:pPr>
  </w:style>
  <w:style w:type="paragraph" w:styleId="ndice8">
    <w:name w:val="index 8"/>
    <w:basedOn w:val="Normal"/>
    <w:next w:val="Normal"/>
    <w:autoRedefine/>
    <w:uiPriority w:val="99"/>
    <w:semiHidden/>
    <w:unhideWhenUsed/>
    <w:rsid w:val="002D5A94"/>
    <w:pPr>
      <w:ind w:left="1920" w:hanging="240"/>
    </w:pPr>
  </w:style>
  <w:style w:type="paragraph" w:styleId="ndice9">
    <w:name w:val="index 9"/>
    <w:basedOn w:val="Normal"/>
    <w:next w:val="Normal"/>
    <w:autoRedefine/>
    <w:uiPriority w:val="99"/>
    <w:semiHidden/>
    <w:unhideWhenUsed/>
    <w:rsid w:val="002D5A94"/>
    <w:pPr>
      <w:ind w:left="2160" w:hanging="240"/>
    </w:pPr>
  </w:style>
  <w:style w:type="paragraph" w:styleId="Lista2">
    <w:name w:val="List 2"/>
    <w:basedOn w:val="Normal"/>
    <w:uiPriority w:val="99"/>
    <w:semiHidden/>
    <w:unhideWhenUsed/>
    <w:rsid w:val="002D5A94"/>
    <w:pPr>
      <w:ind w:left="566" w:hanging="283"/>
      <w:contextualSpacing/>
    </w:pPr>
  </w:style>
  <w:style w:type="paragraph" w:styleId="Lista3">
    <w:name w:val="List 3"/>
    <w:basedOn w:val="Normal"/>
    <w:uiPriority w:val="99"/>
    <w:semiHidden/>
    <w:unhideWhenUsed/>
    <w:rsid w:val="002D5A94"/>
    <w:pPr>
      <w:ind w:left="849" w:hanging="283"/>
      <w:contextualSpacing/>
    </w:pPr>
  </w:style>
  <w:style w:type="paragraph" w:styleId="Lista4">
    <w:name w:val="List 4"/>
    <w:basedOn w:val="Normal"/>
    <w:uiPriority w:val="99"/>
    <w:semiHidden/>
    <w:unhideWhenUsed/>
    <w:rsid w:val="002D5A94"/>
    <w:pPr>
      <w:ind w:left="1132" w:hanging="283"/>
      <w:contextualSpacing/>
    </w:pPr>
  </w:style>
  <w:style w:type="paragraph" w:styleId="Lista5">
    <w:name w:val="List 5"/>
    <w:basedOn w:val="Normal"/>
    <w:uiPriority w:val="99"/>
    <w:semiHidden/>
    <w:unhideWhenUsed/>
    <w:rsid w:val="002D5A94"/>
    <w:pPr>
      <w:ind w:left="1415" w:hanging="283"/>
      <w:contextualSpacing/>
    </w:pPr>
  </w:style>
  <w:style w:type="paragraph" w:styleId="Listaconnmeros">
    <w:name w:val="List Number"/>
    <w:basedOn w:val="Normal"/>
    <w:uiPriority w:val="99"/>
    <w:semiHidden/>
    <w:unhideWhenUsed/>
    <w:rsid w:val="002D5A94"/>
    <w:pPr>
      <w:numPr>
        <w:numId w:val="3"/>
      </w:numPr>
      <w:contextualSpacing/>
    </w:pPr>
  </w:style>
  <w:style w:type="paragraph" w:styleId="Listaconnmeros2">
    <w:name w:val="List Number 2"/>
    <w:basedOn w:val="Normal"/>
    <w:uiPriority w:val="99"/>
    <w:semiHidden/>
    <w:unhideWhenUsed/>
    <w:rsid w:val="002D5A94"/>
    <w:pPr>
      <w:numPr>
        <w:numId w:val="4"/>
      </w:numPr>
      <w:contextualSpacing/>
    </w:pPr>
  </w:style>
  <w:style w:type="paragraph" w:styleId="Listaconnmeros3">
    <w:name w:val="List Number 3"/>
    <w:basedOn w:val="Normal"/>
    <w:uiPriority w:val="99"/>
    <w:semiHidden/>
    <w:unhideWhenUsed/>
    <w:rsid w:val="002D5A94"/>
    <w:pPr>
      <w:numPr>
        <w:numId w:val="5"/>
      </w:numPr>
      <w:contextualSpacing/>
    </w:pPr>
  </w:style>
  <w:style w:type="paragraph" w:styleId="Listaconnmeros4">
    <w:name w:val="List Number 4"/>
    <w:basedOn w:val="Normal"/>
    <w:uiPriority w:val="99"/>
    <w:semiHidden/>
    <w:unhideWhenUsed/>
    <w:rsid w:val="002D5A94"/>
    <w:pPr>
      <w:numPr>
        <w:numId w:val="6"/>
      </w:numPr>
      <w:contextualSpacing/>
    </w:pPr>
  </w:style>
  <w:style w:type="paragraph" w:styleId="Listaconnmeros5">
    <w:name w:val="List Number 5"/>
    <w:basedOn w:val="Normal"/>
    <w:uiPriority w:val="99"/>
    <w:semiHidden/>
    <w:unhideWhenUsed/>
    <w:rsid w:val="002D5A94"/>
    <w:pPr>
      <w:numPr>
        <w:numId w:val="7"/>
      </w:numPr>
      <w:contextualSpacing/>
    </w:pPr>
  </w:style>
  <w:style w:type="paragraph" w:styleId="Listaconvietas">
    <w:name w:val="List Bullet"/>
    <w:basedOn w:val="Normal"/>
    <w:uiPriority w:val="99"/>
    <w:unhideWhenUsed/>
    <w:rsid w:val="002D5A94"/>
    <w:pPr>
      <w:numPr>
        <w:numId w:val="8"/>
      </w:numPr>
      <w:contextualSpacing/>
    </w:pPr>
  </w:style>
  <w:style w:type="paragraph" w:styleId="Listaconvietas2">
    <w:name w:val="List Bullet 2"/>
    <w:basedOn w:val="Normal"/>
    <w:uiPriority w:val="99"/>
    <w:semiHidden/>
    <w:unhideWhenUsed/>
    <w:rsid w:val="002D5A94"/>
    <w:pPr>
      <w:numPr>
        <w:numId w:val="9"/>
      </w:numPr>
      <w:contextualSpacing/>
    </w:pPr>
  </w:style>
  <w:style w:type="paragraph" w:styleId="Listaconvietas3">
    <w:name w:val="List Bullet 3"/>
    <w:basedOn w:val="Normal"/>
    <w:uiPriority w:val="99"/>
    <w:semiHidden/>
    <w:unhideWhenUsed/>
    <w:rsid w:val="002D5A94"/>
    <w:pPr>
      <w:numPr>
        <w:numId w:val="10"/>
      </w:numPr>
      <w:contextualSpacing/>
    </w:pPr>
  </w:style>
  <w:style w:type="paragraph" w:styleId="Listaconvietas4">
    <w:name w:val="List Bullet 4"/>
    <w:basedOn w:val="Normal"/>
    <w:uiPriority w:val="99"/>
    <w:semiHidden/>
    <w:unhideWhenUsed/>
    <w:rsid w:val="002D5A94"/>
    <w:pPr>
      <w:numPr>
        <w:numId w:val="11"/>
      </w:numPr>
      <w:contextualSpacing/>
    </w:pPr>
  </w:style>
  <w:style w:type="paragraph" w:styleId="Listaconvietas5">
    <w:name w:val="List Bullet 5"/>
    <w:basedOn w:val="Normal"/>
    <w:uiPriority w:val="99"/>
    <w:semiHidden/>
    <w:unhideWhenUsed/>
    <w:rsid w:val="002D5A94"/>
    <w:pPr>
      <w:numPr>
        <w:numId w:val="12"/>
      </w:numPr>
      <w:contextualSpacing/>
    </w:pPr>
  </w:style>
  <w:style w:type="paragraph" w:styleId="Mapadeldocumento">
    <w:name w:val="Document Map"/>
    <w:basedOn w:val="Normal"/>
    <w:link w:val="MapadeldocumentoCar"/>
    <w:uiPriority w:val="99"/>
    <w:semiHidden/>
    <w:unhideWhenUsed/>
    <w:rsid w:val="002D5A94"/>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D5A94"/>
    <w:rPr>
      <w:rFonts w:ascii="Tahoma" w:eastAsia="Lucida Sans Unicode" w:hAnsi="Tahoma" w:cs="Tahoma"/>
      <w:kern w:val="1"/>
      <w:sz w:val="16"/>
      <w:szCs w:val="16"/>
      <w:lang w:val="es-ES"/>
    </w:rPr>
  </w:style>
  <w:style w:type="paragraph" w:styleId="NormalWeb">
    <w:name w:val="Normal (Web)"/>
    <w:basedOn w:val="Normal"/>
    <w:uiPriority w:val="99"/>
    <w:semiHidden/>
    <w:unhideWhenUsed/>
    <w:rsid w:val="002D5A94"/>
  </w:style>
  <w:style w:type="paragraph" w:styleId="Remitedesobre">
    <w:name w:val="envelope return"/>
    <w:basedOn w:val="Normal"/>
    <w:uiPriority w:val="99"/>
    <w:semiHidden/>
    <w:unhideWhenUsed/>
    <w:rsid w:val="002D5A94"/>
    <w:rPr>
      <w:rFonts w:ascii="Cambria" w:eastAsia="Times New Roman" w:hAnsi="Cambria"/>
      <w:sz w:val="20"/>
      <w:szCs w:val="20"/>
    </w:rPr>
  </w:style>
  <w:style w:type="paragraph" w:styleId="Saludo">
    <w:name w:val="Salutation"/>
    <w:basedOn w:val="Normal"/>
    <w:next w:val="Normal"/>
    <w:link w:val="SaludoCar"/>
    <w:uiPriority w:val="99"/>
    <w:semiHidden/>
    <w:unhideWhenUsed/>
    <w:rsid w:val="002D5A94"/>
  </w:style>
  <w:style w:type="character" w:customStyle="1" w:styleId="SaludoCar">
    <w:name w:val="Saludo Car"/>
    <w:basedOn w:val="Fuentedeprrafopredeter"/>
    <w:link w:val="Saludo"/>
    <w:uiPriority w:val="99"/>
    <w:semiHidden/>
    <w:rsid w:val="002D5A94"/>
    <w:rPr>
      <w:rFonts w:eastAsia="Lucida Sans Unicode"/>
      <w:kern w:val="1"/>
      <w:sz w:val="24"/>
      <w:szCs w:val="24"/>
      <w:lang w:val="es-ES"/>
    </w:rPr>
  </w:style>
  <w:style w:type="paragraph" w:styleId="Sangra2detindependiente">
    <w:name w:val="Body Text Indent 2"/>
    <w:basedOn w:val="Normal"/>
    <w:link w:val="Sangra2detindependienteCar"/>
    <w:uiPriority w:val="99"/>
    <w:semiHidden/>
    <w:unhideWhenUsed/>
    <w:rsid w:val="002D5A9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D5A94"/>
    <w:rPr>
      <w:rFonts w:eastAsia="Lucida Sans Unicode"/>
      <w:kern w:val="1"/>
      <w:sz w:val="24"/>
      <w:szCs w:val="24"/>
      <w:lang w:val="es-ES"/>
    </w:rPr>
  </w:style>
  <w:style w:type="paragraph" w:styleId="Sangra3detindependiente">
    <w:name w:val="Body Text Indent 3"/>
    <w:basedOn w:val="Normal"/>
    <w:link w:val="Sangra3detindependienteCar"/>
    <w:uiPriority w:val="99"/>
    <w:semiHidden/>
    <w:unhideWhenUsed/>
    <w:rsid w:val="002D5A9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2D5A94"/>
    <w:rPr>
      <w:rFonts w:eastAsia="Lucida Sans Unicode"/>
      <w:kern w:val="1"/>
      <w:sz w:val="16"/>
      <w:szCs w:val="16"/>
      <w:lang w:val="es-ES"/>
    </w:rPr>
  </w:style>
  <w:style w:type="paragraph" w:styleId="Sangradetextonormal">
    <w:name w:val="Body Text Indent"/>
    <w:basedOn w:val="Normal"/>
    <w:link w:val="SangradetextonormalCar"/>
    <w:uiPriority w:val="99"/>
    <w:semiHidden/>
    <w:unhideWhenUsed/>
    <w:rsid w:val="002D5A94"/>
    <w:pPr>
      <w:spacing w:after="120"/>
      <w:ind w:left="283"/>
    </w:pPr>
  </w:style>
  <w:style w:type="character" w:customStyle="1" w:styleId="SangradetextonormalCar">
    <w:name w:val="Sangría de texto normal Car"/>
    <w:basedOn w:val="Fuentedeprrafopredeter"/>
    <w:link w:val="Sangradetextonormal"/>
    <w:uiPriority w:val="99"/>
    <w:semiHidden/>
    <w:rsid w:val="002D5A94"/>
    <w:rPr>
      <w:rFonts w:eastAsia="Lucida Sans Unicode"/>
      <w:kern w:val="1"/>
      <w:sz w:val="24"/>
      <w:szCs w:val="24"/>
      <w:lang w:val="es-ES"/>
    </w:rPr>
  </w:style>
  <w:style w:type="paragraph" w:styleId="Sangranormal">
    <w:name w:val="Normal Indent"/>
    <w:basedOn w:val="Normal"/>
    <w:uiPriority w:val="99"/>
    <w:semiHidden/>
    <w:unhideWhenUsed/>
    <w:rsid w:val="002D5A94"/>
    <w:pPr>
      <w:ind w:left="708"/>
    </w:pPr>
  </w:style>
  <w:style w:type="paragraph" w:styleId="Sinespaciado">
    <w:name w:val="No Spacing"/>
    <w:uiPriority w:val="1"/>
    <w:qFormat/>
    <w:rsid w:val="002D5A94"/>
    <w:pPr>
      <w:widowControl w:val="0"/>
      <w:suppressAutoHyphens/>
    </w:pPr>
    <w:rPr>
      <w:rFonts w:eastAsia="Lucida Sans Unicode"/>
      <w:kern w:val="1"/>
      <w:sz w:val="24"/>
      <w:szCs w:val="24"/>
      <w:lang w:val="es-ES" w:eastAsia="es-UY"/>
    </w:rPr>
  </w:style>
  <w:style w:type="paragraph" w:styleId="Subttulo">
    <w:name w:val="Subtitle"/>
    <w:basedOn w:val="Normal"/>
    <w:next w:val="Normal"/>
    <w:link w:val="SubttuloCar"/>
    <w:uiPriority w:val="11"/>
    <w:qFormat/>
    <w:rsid w:val="002D5A94"/>
    <w:pPr>
      <w:spacing w:after="60"/>
      <w:jc w:val="center"/>
      <w:outlineLvl w:val="1"/>
    </w:pPr>
    <w:rPr>
      <w:rFonts w:ascii="Cambria" w:eastAsia="Times New Roman" w:hAnsi="Cambria"/>
    </w:rPr>
  </w:style>
  <w:style w:type="character" w:customStyle="1" w:styleId="SubttuloCar">
    <w:name w:val="Subtítulo Car"/>
    <w:basedOn w:val="Fuentedeprrafopredeter"/>
    <w:link w:val="Subttulo"/>
    <w:uiPriority w:val="11"/>
    <w:rsid w:val="002D5A94"/>
    <w:rPr>
      <w:rFonts w:ascii="Cambria" w:eastAsia="Times New Roman" w:hAnsi="Cambria" w:cs="Times New Roman"/>
      <w:kern w:val="1"/>
      <w:sz w:val="24"/>
      <w:szCs w:val="24"/>
      <w:lang w:val="es-ES"/>
    </w:rPr>
  </w:style>
  <w:style w:type="paragraph" w:styleId="Tabladeilustraciones">
    <w:name w:val="table of figures"/>
    <w:basedOn w:val="Normal"/>
    <w:next w:val="Normal"/>
    <w:uiPriority w:val="99"/>
    <w:semiHidden/>
    <w:unhideWhenUsed/>
    <w:rsid w:val="002D5A94"/>
  </w:style>
  <w:style w:type="paragraph" w:styleId="TDC1">
    <w:name w:val="toc 1"/>
    <w:basedOn w:val="Normal"/>
    <w:next w:val="Normal"/>
    <w:autoRedefine/>
    <w:uiPriority w:val="39"/>
    <w:semiHidden/>
    <w:unhideWhenUsed/>
    <w:rsid w:val="002D5A94"/>
  </w:style>
  <w:style w:type="paragraph" w:styleId="TDC2">
    <w:name w:val="toc 2"/>
    <w:basedOn w:val="Normal"/>
    <w:next w:val="Normal"/>
    <w:autoRedefine/>
    <w:uiPriority w:val="39"/>
    <w:semiHidden/>
    <w:unhideWhenUsed/>
    <w:rsid w:val="002D5A94"/>
    <w:pPr>
      <w:ind w:left="240"/>
    </w:pPr>
  </w:style>
  <w:style w:type="paragraph" w:styleId="TDC3">
    <w:name w:val="toc 3"/>
    <w:basedOn w:val="Normal"/>
    <w:next w:val="Normal"/>
    <w:autoRedefine/>
    <w:uiPriority w:val="39"/>
    <w:semiHidden/>
    <w:unhideWhenUsed/>
    <w:rsid w:val="002D5A94"/>
    <w:pPr>
      <w:ind w:left="480"/>
    </w:pPr>
  </w:style>
  <w:style w:type="paragraph" w:styleId="TDC4">
    <w:name w:val="toc 4"/>
    <w:basedOn w:val="Normal"/>
    <w:next w:val="Normal"/>
    <w:autoRedefine/>
    <w:uiPriority w:val="39"/>
    <w:semiHidden/>
    <w:unhideWhenUsed/>
    <w:rsid w:val="002D5A94"/>
    <w:pPr>
      <w:ind w:left="720"/>
    </w:pPr>
  </w:style>
  <w:style w:type="paragraph" w:styleId="TDC5">
    <w:name w:val="toc 5"/>
    <w:basedOn w:val="Normal"/>
    <w:next w:val="Normal"/>
    <w:autoRedefine/>
    <w:uiPriority w:val="39"/>
    <w:semiHidden/>
    <w:unhideWhenUsed/>
    <w:rsid w:val="002D5A94"/>
    <w:pPr>
      <w:ind w:left="960"/>
    </w:pPr>
  </w:style>
  <w:style w:type="paragraph" w:styleId="TDC6">
    <w:name w:val="toc 6"/>
    <w:basedOn w:val="Normal"/>
    <w:next w:val="Normal"/>
    <w:autoRedefine/>
    <w:uiPriority w:val="39"/>
    <w:semiHidden/>
    <w:unhideWhenUsed/>
    <w:rsid w:val="002D5A94"/>
    <w:pPr>
      <w:ind w:left="1200"/>
    </w:pPr>
  </w:style>
  <w:style w:type="paragraph" w:styleId="TDC7">
    <w:name w:val="toc 7"/>
    <w:basedOn w:val="Normal"/>
    <w:next w:val="Normal"/>
    <w:autoRedefine/>
    <w:uiPriority w:val="39"/>
    <w:semiHidden/>
    <w:unhideWhenUsed/>
    <w:rsid w:val="002D5A94"/>
    <w:pPr>
      <w:ind w:left="1440"/>
    </w:pPr>
  </w:style>
  <w:style w:type="paragraph" w:styleId="TDC8">
    <w:name w:val="toc 8"/>
    <w:basedOn w:val="Normal"/>
    <w:next w:val="Normal"/>
    <w:autoRedefine/>
    <w:uiPriority w:val="39"/>
    <w:semiHidden/>
    <w:unhideWhenUsed/>
    <w:rsid w:val="002D5A94"/>
    <w:pPr>
      <w:ind w:left="1680"/>
    </w:pPr>
  </w:style>
  <w:style w:type="paragraph" w:styleId="TDC9">
    <w:name w:val="toc 9"/>
    <w:basedOn w:val="Normal"/>
    <w:next w:val="Normal"/>
    <w:autoRedefine/>
    <w:uiPriority w:val="39"/>
    <w:semiHidden/>
    <w:unhideWhenUsed/>
    <w:rsid w:val="002D5A94"/>
    <w:pPr>
      <w:ind w:left="1920"/>
    </w:pPr>
  </w:style>
  <w:style w:type="paragraph" w:styleId="Textoconsangra">
    <w:name w:val="table of authorities"/>
    <w:basedOn w:val="Normal"/>
    <w:next w:val="Normal"/>
    <w:uiPriority w:val="99"/>
    <w:semiHidden/>
    <w:unhideWhenUsed/>
    <w:rsid w:val="002D5A94"/>
    <w:pPr>
      <w:ind w:left="240" w:hanging="240"/>
    </w:pPr>
  </w:style>
  <w:style w:type="paragraph" w:styleId="Textodebloque">
    <w:name w:val="Block Text"/>
    <w:basedOn w:val="Normal"/>
    <w:uiPriority w:val="99"/>
    <w:semiHidden/>
    <w:unhideWhenUsed/>
    <w:rsid w:val="002D5A94"/>
    <w:pPr>
      <w:spacing w:after="120"/>
      <w:ind w:left="1440" w:right="1440"/>
    </w:pPr>
  </w:style>
  <w:style w:type="paragraph" w:styleId="Textoindependiente2">
    <w:name w:val="Body Text 2"/>
    <w:basedOn w:val="Normal"/>
    <w:link w:val="Textoindependiente2Car"/>
    <w:uiPriority w:val="99"/>
    <w:semiHidden/>
    <w:unhideWhenUsed/>
    <w:rsid w:val="002D5A94"/>
    <w:pPr>
      <w:spacing w:after="120" w:line="480" w:lineRule="auto"/>
    </w:pPr>
  </w:style>
  <w:style w:type="character" w:customStyle="1" w:styleId="Textoindependiente2Car">
    <w:name w:val="Texto independiente 2 Car"/>
    <w:basedOn w:val="Fuentedeprrafopredeter"/>
    <w:link w:val="Textoindependiente2"/>
    <w:uiPriority w:val="99"/>
    <w:semiHidden/>
    <w:rsid w:val="002D5A94"/>
    <w:rPr>
      <w:rFonts w:eastAsia="Lucida Sans Unicode"/>
      <w:kern w:val="1"/>
      <w:sz w:val="24"/>
      <w:szCs w:val="24"/>
      <w:lang w:val="es-ES"/>
    </w:rPr>
  </w:style>
  <w:style w:type="paragraph" w:styleId="Textoindependiente3">
    <w:name w:val="Body Text 3"/>
    <w:basedOn w:val="Normal"/>
    <w:link w:val="Textoindependiente3Car"/>
    <w:uiPriority w:val="99"/>
    <w:semiHidden/>
    <w:unhideWhenUsed/>
    <w:rsid w:val="002D5A9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D5A94"/>
    <w:rPr>
      <w:rFonts w:eastAsia="Lucida Sans Unicode"/>
      <w:kern w:val="1"/>
      <w:sz w:val="16"/>
      <w:szCs w:val="16"/>
      <w:lang w:val="es-ES"/>
    </w:rPr>
  </w:style>
  <w:style w:type="paragraph" w:styleId="Textoindependienteprimerasangra">
    <w:name w:val="Body Text First Indent"/>
    <w:basedOn w:val="Textoindependiente"/>
    <w:link w:val="TextoindependienteprimerasangraCar"/>
    <w:uiPriority w:val="99"/>
    <w:semiHidden/>
    <w:unhideWhenUsed/>
    <w:rsid w:val="002D5A94"/>
    <w:pPr>
      <w:ind w:firstLine="210"/>
    </w:pPr>
  </w:style>
  <w:style w:type="character" w:customStyle="1" w:styleId="TextoindependienteCar">
    <w:name w:val="Texto independiente Car"/>
    <w:basedOn w:val="Fuentedeprrafopredeter"/>
    <w:link w:val="Textoindependiente"/>
    <w:rsid w:val="002D5A94"/>
    <w:rPr>
      <w:rFonts w:eastAsia="Lucida Sans Unicode"/>
      <w:kern w:val="1"/>
      <w:sz w:val="24"/>
      <w:szCs w:val="24"/>
      <w:lang w:val="es-ES"/>
    </w:rPr>
  </w:style>
  <w:style w:type="character" w:customStyle="1" w:styleId="TextoindependienteprimerasangraCar">
    <w:name w:val="Texto independiente primera sangría Car"/>
    <w:basedOn w:val="TextoindependienteCar"/>
    <w:link w:val="Textoindependienteprimerasangra"/>
    <w:rsid w:val="002D5A94"/>
    <w:rPr>
      <w:rFonts w:eastAsia="Lucida Sans Unicode"/>
      <w:kern w:val="1"/>
      <w:sz w:val="24"/>
      <w:szCs w:val="24"/>
      <w:lang w:val="es-ES"/>
    </w:rPr>
  </w:style>
  <w:style w:type="paragraph" w:styleId="Textoindependienteprimerasangra2">
    <w:name w:val="Body Text First Indent 2"/>
    <w:basedOn w:val="Sangradetextonormal"/>
    <w:link w:val="Textoindependienteprimerasangra2Car"/>
    <w:uiPriority w:val="99"/>
    <w:semiHidden/>
    <w:unhideWhenUsed/>
    <w:rsid w:val="002D5A94"/>
    <w:pPr>
      <w:ind w:firstLine="210"/>
    </w:pPr>
  </w:style>
  <w:style w:type="character" w:customStyle="1" w:styleId="Textoindependienteprimerasangra2Car">
    <w:name w:val="Texto independiente primera sangría 2 Car"/>
    <w:basedOn w:val="SangradetextonormalCar"/>
    <w:link w:val="Textoindependienteprimerasangra2"/>
    <w:uiPriority w:val="99"/>
    <w:semiHidden/>
    <w:rsid w:val="002D5A94"/>
    <w:rPr>
      <w:rFonts w:eastAsia="Lucida Sans Unicode"/>
      <w:kern w:val="1"/>
      <w:sz w:val="24"/>
      <w:szCs w:val="24"/>
      <w:lang w:val="es-ES"/>
    </w:rPr>
  </w:style>
  <w:style w:type="paragraph" w:styleId="Textomacro">
    <w:name w:val="macro"/>
    <w:link w:val="TextomacroCar"/>
    <w:uiPriority w:val="99"/>
    <w:semiHidden/>
    <w:unhideWhenUsed/>
    <w:rsid w:val="002D5A94"/>
    <w:pPr>
      <w:widowControl w:val="0"/>
      <w:tabs>
        <w:tab w:val="left" w:pos="480"/>
        <w:tab w:val="left" w:pos="960"/>
        <w:tab w:val="left" w:pos="1440"/>
        <w:tab w:val="left" w:pos="1920"/>
        <w:tab w:val="left" w:pos="2400"/>
        <w:tab w:val="left" w:pos="2880"/>
        <w:tab w:val="left" w:pos="3360"/>
        <w:tab w:val="left" w:pos="3840"/>
        <w:tab w:val="left" w:pos="4320"/>
      </w:tabs>
      <w:suppressAutoHyphens/>
    </w:pPr>
    <w:rPr>
      <w:rFonts w:ascii="Courier New" w:eastAsia="Lucida Sans Unicode" w:hAnsi="Courier New" w:cs="Courier New"/>
      <w:kern w:val="1"/>
      <w:lang w:val="es-ES" w:eastAsia="es-UY"/>
    </w:rPr>
  </w:style>
  <w:style w:type="character" w:customStyle="1" w:styleId="TextomacroCar">
    <w:name w:val="Texto macro Car"/>
    <w:basedOn w:val="Fuentedeprrafopredeter"/>
    <w:link w:val="Textomacro"/>
    <w:uiPriority w:val="99"/>
    <w:semiHidden/>
    <w:rsid w:val="002D5A94"/>
    <w:rPr>
      <w:rFonts w:ascii="Courier New" w:eastAsia="Lucida Sans Unicode" w:hAnsi="Courier New" w:cs="Courier New"/>
      <w:kern w:val="1"/>
      <w:lang w:val="es-ES" w:eastAsia="es-UY" w:bidi="ar-SA"/>
    </w:rPr>
  </w:style>
  <w:style w:type="paragraph" w:styleId="Textonotaalfinal">
    <w:name w:val="endnote text"/>
    <w:basedOn w:val="Normal"/>
    <w:link w:val="TextonotaalfinalCar"/>
    <w:uiPriority w:val="99"/>
    <w:semiHidden/>
    <w:unhideWhenUsed/>
    <w:rsid w:val="002D5A94"/>
    <w:rPr>
      <w:sz w:val="20"/>
      <w:szCs w:val="20"/>
    </w:rPr>
  </w:style>
  <w:style w:type="character" w:customStyle="1" w:styleId="TextonotaalfinalCar">
    <w:name w:val="Texto nota al final Car"/>
    <w:basedOn w:val="Fuentedeprrafopredeter"/>
    <w:link w:val="Textonotaalfinal"/>
    <w:uiPriority w:val="99"/>
    <w:semiHidden/>
    <w:rsid w:val="002D5A94"/>
    <w:rPr>
      <w:rFonts w:eastAsia="Lucida Sans Unicode"/>
      <w:kern w:val="1"/>
      <w:lang w:val="es-ES"/>
    </w:rPr>
  </w:style>
  <w:style w:type="paragraph" w:styleId="Textosinformato">
    <w:name w:val="Plain Text"/>
    <w:basedOn w:val="Normal"/>
    <w:link w:val="TextosinformatoCar"/>
    <w:uiPriority w:val="99"/>
    <w:semiHidden/>
    <w:unhideWhenUsed/>
    <w:rsid w:val="002D5A94"/>
    <w:rPr>
      <w:rFonts w:ascii="Courier New" w:hAnsi="Courier New" w:cs="Courier New"/>
      <w:sz w:val="20"/>
      <w:szCs w:val="20"/>
    </w:rPr>
  </w:style>
  <w:style w:type="character" w:customStyle="1" w:styleId="TextosinformatoCar">
    <w:name w:val="Texto sin formato Car"/>
    <w:basedOn w:val="Fuentedeprrafopredeter"/>
    <w:link w:val="Textosinformato"/>
    <w:uiPriority w:val="99"/>
    <w:semiHidden/>
    <w:rsid w:val="002D5A94"/>
    <w:rPr>
      <w:rFonts w:ascii="Courier New" w:eastAsia="Lucida Sans Unicode" w:hAnsi="Courier New" w:cs="Courier New"/>
      <w:kern w:val="1"/>
      <w:lang w:val="es-ES"/>
    </w:rPr>
  </w:style>
  <w:style w:type="paragraph" w:styleId="Ttulo">
    <w:name w:val="Title"/>
    <w:basedOn w:val="Normal"/>
    <w:next w:val="Normal"/>
    <w:link w:val="TtuloCar"/>
    <w:uiPriority w:val="10"/>
    <w:qFormat/>
    <w:rsid w:val="002D5A94"/>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10"/>
    <w:rsid w:val="002D5A94"/>
    <w:rPr>
      <w:rFonts w:ascii="Cambria" w:eastAsia="Times New Roman" w:hAnsi="Cambria" w:cs="Times New Roman"/>
      <w:b/>
      <w:bCs/>
      <w:kern w:val="28"/>
      <w:sz w:val="32"/>
      <w:szCs w:val="32"/>
      <w:lang w:val="es-ES"/>
    </w:rPr>
  </w:style>
  <w:style w:type="character" w:customStyle="1" w:styleId="Ttulo2Car">
    <w:name w:val="Título 2 Car"/>
    <w:basedOn w:val="Fuentedeprrafopredeter"/>
    <w:link w:val="Ttulo2"/>
    <w:uiPriority w:val="9"/>
    <w:semiHidden/>
    <w:rsid w:val="002D5A94"/>
    <w:rPr>
      <w:rFonts w:ascii="Cambria" w:eastAsia="Times New Roman" w:hAnsi="Cambria" w:cs="Times New Roman"/>
      <w:b/>
      <w:bCs/>
      <w:i/>
      <w:iCs/>
      <w:kern w:val="1"/>
      <w:sz w:val="28"/>
      <w:szCs w:val="28"/>
      <w:lang w:val="es-ES"/>
    </w:rPr>
  </w:style>
  <w:style w:type="character" w:customStyle="1" w:styleId="Ttulo4Car">
    <w:name w:val="Título 4 Car"/>
    <w:basedOn w:val="Fuentedeprrafopredeter"/>
    <w:link w:val="Ttulo4"/>
    <w:uiPriority w:val="9"/>
    <w:semiHidden/>
    <w:rsid w:val="002D5A94"/>
    <w:rPr>
      <w:rFonts w:ascii="Calibri" w:eastAsia="Times New Roman" w:hAnsi="Calibri" w:cs="Times New Roman"/>
      <w:b/>
      <w:bCs/>
      <w:kern w:val="1"/>
      <w:sz w:val="28"/>
      <w:szCs w:val="28"/>
      <w:lang w:val="es-ES"/>
    </w:rPr>
  </w:style>
  <w:style w:type="character" w:customStyle="1" w:styleId="Ttulo5Car">
    <w:name w:val="Título 5 Car"/>
    <w:basedOn w:val="Fuentedeprrafopredeter"/>
    <w:link w:val="Ttulo5"/>
    <w:uiPriority w:val="9"/>
    <w:semiHidden/>
    <w:rsid w:val="002D5A94"/>
    <w:rPr>
      <w:rFonts w:ascii="Calibri" w:eastAsia="Times New Roman" w:hAnsi="Calibri" w:cs="Times New Roman"/>
      <w:b/>
      <w:bCs/>
      <w:i/>
      <w:iCs/>
      <w:kern w:val="1"/>
      <w:sz w:val="26"/>
      <w:szCs w:val="26"/>
      <w:lang w:val="es-ES"/>
    </w:rPr>
  </w:style>
  <w:style w:type="character" w:customStyle="1" w:styleId="Ttulo6Car">
    <w:name w:val="Título 6 Car"/>
    <w:basedOn w:val="Fuentedeprrafopredeter"/>
    <w:link w:val="Ttulo6"/>
    <w:uiPriority w:val="9"/>
    <w:semiHidden/>
    <w:rsid w:val="002D5A94"/>
    <w:rPr>
      <w:rFonts w:ascii="Calibri" w:eastAsia="Times New Roman" w:hAnsi="Calibri" w:cs="Times New Roman"/>
      <w:b/>
      <w:bCs/>
      <w:kern w:val="1"/>
      <w:sz w:val="22"/>
      <w:szCs w:val="22"/>
      <w:lang w:val="es-ES"/>
    </w:rPr>
  </w:style>
  <w:style w:type="character" w:customStyle="1" w:styleId="Ttulo7Car">
    <w:name w:val="Título 7 Car"/>
    <w:basedOn w:val="Fuentedeprrafopredeter"/>
    <w:link w:val="Ttulo7"/>
    <w:uiPriority w:val="9"/>
    <w:semiHidden/>
    <w:rsid w:val="002D5A94"/>
    <w:rPr>
      <w:rFonts w:ascii="Calibri" w:eastAsia="Times New Roman" w:hAnsi="Calibri" w:cs="Times New Roman"/>
      <w:kern w:val="1"/>
      <w:sz w:val="24"/>
      <w:szCs w:val="24"/>
      <w:lang w:val="es-ES"/>
    </w:rPr>
  </w:style>
  <w:style w:type="character" w:customStyle="1" w:styleId="Ttulo8Car">
    <w:name w:val="Título 8 Car"/>
    <w:basedOn w:val="Fuentedeprrafopredeter"/>
    <w:link w:val="Ttulo8"/>
    <w:uiPriority w:val="9"/>
    <w:semiHidden/>
    <w:rsid w:val="002D5A94"/>
    <w:rPr>
      <w:rFonts w:ascii="Calibri" w:eastAsia="Times New Roman" w:hAnsi="Calibri" w:cs="Times New Roman"/>
      <w:i/>
      <w:iCs/>
      <w:kern w:val="1"/>
      <w:sz w:val="24"/>
      <w:szCs w:val="24"/>
      <w:lang w:val="es-ES"/>
    </w:rPr>
  </w:style>
  <w:style w:type="character" w:customStyle="1" w:styleId="Ttulo9Car">
    <w:name w:val="Título 9 Car"/>
    <w:basedOn w:val="Fuentedeprrafopredeter"/>
    <w:link w:val="Ttulo9"/>
    <w:uiPriority w:val="9"/>
    <w:semiHidden/>
    <w:rsid w:val="002D5A94"/>
    <w:rPr>
      <w:rFonts w:ascii="Cambria" w:eastAsia="Times New Roman" w:hAnsi="Cambria" w:cs="Times New Roman"/>
      <w:kern w:val="1"/>
      <w:sz w:val="22"/>
      <w:szCs w:val="22"/>
      <w:lang w:val="es-ES"/>
    </w:rPr>
  </w:style>
  <w:style w:type="paragraph" w:styleId="Ttulodendice">
    <w:name w:val="index heading"/>
    <w:basedOn w:val="Normal"/>
    <w:next w:val="ndice1"/>
    <w:uiPriority w:val="99"/>
    <w:semiHidden/>
    <w:unhideWhenUsed/>
    <w:rsid w:val="002D5A94"/>
    <w:rPr>
      <w:rFonts w:ascii="Cambria" w:eastAsia="Times New Roman" w:hAnsi="Cambria"/>
      <w:b/>
      <w:bCs/>
    </w:rPr>
  </w:style>
  <w:style w:type="paragraph" w:styleId="TtulodeTDC">
    <w:name w:val="TOC Heading"/>
    <w:basedOn w:val="Ttulo1"/>
    <w:next w:val="Normal"/>
    <w:uiPriority w:val="39"/>
    <w:qFormat/>
    <w:rsid w:val="002D5A94"/>
    <w:pPr>
      <w:numPr>
        <w:numId w:val="0"/>
      </w:numPr>
      <w:outlineLvl w:val="9"/>
    </w:pPr>
    <w:rPr>
      <w:rFonts w:ascii="Cambria" w:eastAsia="Times New Roman" w:hAnsi="Cambria"/>
      <w:bCs/>
      <w:kern w:val="32"/>
      <w:sz w:val="32"/>
      <w:szCs w:val="32"/>
    </w:rPr>
  </w:style>
  <w:style w:type="character" w:customStyle="1" w:styleId="apple-style-span">
    <w:name w:val="apple-style-span"/>
    <w:basedOn w:val="Fuentedeprrafopredeter"/>
    <w:rsid w:val="001540A6"/>
  </w:style>
  <w:style w:type="character" w:customStyle="1" w:styleId="apple-converted-space">
    <w:name w:val="apple-converted-space"/>
    <w:basedOn w:val="Fuentedeprrafopredeter"/>
    <w:rsid w:val="001540A6"/>
  </w:style>
  <w:style w:type="character" w:styleId="Refdecomentario">
    <w:name w:val="annotation reference"/>
    <w:basedOn w:val="Fuentedeprrafopredeter"/>
    <w:uiPriority w:val="99"/>
    <w:semiHidden/>
    <w:unhideWhenUsed/>
    <w:rsid w:val="00D21A5C"/>
    <w:rPr>
      <w:sz w:val="16"/>
      <w:szCs w:val="16"/>
    </w:rPr>
  </w:style>
  <w:style w:type="character" w:styleId="Hipervnculo">
    <w:name w:val="Hyperlink"/>
    <w:basedOn w:val="Fuentedeprrafopredeter"/>
    <w:uiPriority w:val="99"/>
    <w:unhideWhenUsed/>
    <w:rsid w:val="005A1D7B"/>
    <w:rPr>
      <w:color w:val="0000FF"/>
      <w:u w:val="single"/>
    </w:rPr>
  </w:style>
  <w:style w:type="character" w:customStyle="1" w:styleId="TextonotapieCar">
    <w:name w:val="Texto nota pie Car"/>
    <w:basedOn w:val="Fuentedeprrafopredeter"/>
    <w:link w:val="Textonotapie"/>
    <w:uiPriority w:val="99"/>
    <w:rsid w:val="00484800"/>
    <w:rPr>
      <w:rFonts w:eastAsia="Lucida Sans Unicode"/>
      <w:kern w:val="1"/>
      <w:lang w:val="es-ES" w:eastAsia="es-UY"/>
    </w:rPr>
  </w:style>
  <w:style w:type="character" w:styleId="Hipervnculovisitado">
    <w:name w:val="FollowedHyperlink"/>
    <w:basedOn w:val="Fuentedeprrafopredeter"/>
    <w:uiPriority w:val="99"/>
    <w:semiHidden/>
    <w:unhideWhenUsed/>
    <w:rsid w:val="00014ED3"/>
    <w:rPr>
      <w:color w:val="800080" w:themeColor="followedHyperlink"/>
      <w:u w:val="single"/>
    </w:rPr>
  </w:style>
  <w:style w:type="character" w:styleId="Textoennegrita">
    <w:name w:val="Strong"/>
    <w:basedOn w:val="Fuentedeprrafopredeter"/>
    <w:uiPriority w:val="22"/>
    <w:qFormat/>
    <w:rsid w:val="00B76DE5"/>
    <w:rPr>
      <w:b/>
      <w:bCs/>
    </w:rPr>
  </w:style>
  <w:style w:type="paragraph" w:customStyle="1" w:styleId="TtuloII">
    <w:name w:val="Título II"/>
    <w:basedOn w:val="Ttulo1"/>
    <w:qFormat/>
    <w:rsid w:val="009A7FFD"/>
    <w:pPr>
      <w:numPr>
        <w:numId w:val="0"/>
      </w:numPr>
      <w:pBdr>
        <w:top w:val="single" w:sz="8" w:space="0" w:color="800080"/>
      </w:pBdr>
      <w:spacing w:before="120" w:after="120"/>
      <w:jc w:val="center"/>
    </w:pPr>
    <w:rPr>
      <w:rFonts w:ascii="Palatino Linotype" w:hAnsi="Palatino Linotype"/>
      <w:color w:val="800000"/>
      <w:sz w:val="24"/>
      <w:szCs w:val="22"/>
    </w:rPr>
  </w:style>
  <w:style w:type="paragraph" w:customStyle="1" w:styleId="TextoII">
    <w:name w:val="Texto II"/>
    <w:basedOn w:val="clavestexto"/>
    <w:qFormat/>
    <w:rsid w:val="009A7FFD"/>
    <w:pPr>
      <w:spacing w:before="120" w:after="120"/>
    </w:pPr>
    <w:rPr>
      <w:rFonts w:ascii="Palatino Linotype" w:hAnsi="Palatino Linotype" w:cs="Tahoma"/>
      <w:sz w:val="19"/>
      <w:szCs w:val="19"/>
    </w:rPr>
  </w:style>
</w:styles>
</file>

<file path=word/webSettings.xml><?xml version="1.0" encoding="utf-8"?>
<w:webSettings xmlns:r="http://schemas.openxmlformats.org/officeDocument/2006/relationships" xmlns:w="http://schemas.openxmlformats.org/wordprocessingml/2006/main">
  <w:divs>
    <w:div w:id="8408320">
      <w:bodyDiv w:val="1"/>
      <w:marLeft w:val="0"/>
      <w:marRight w:val="0"/>
      <w:marTop w:val="0"/>
      <w:marBottom w:val="0"/>
      <w:divBdr>
        <w:top w:val="none" w:sz="0" w:space="0" w:color="auto"/>
        <w:left w:val="none" w:sz="0" w:space="0" w:color="auto"/>
        <w:bottom w:val="none" w:sz="0" w:space="0" w:color="auto"/>
        <w:right w:val="none" w:sz="0" w:space="0" w:color="auto"/>
      </w:divBdr>
    </w:div>
    <w:div w:id="13655625">
      <w:bodyDiv w:val="1"/>
      <w:marLeft w:val="0"/>
      <w:marRight w:val="0"/>
      <w:marTop w:val="0"/>
      <w:marBottom w:val="0"/>
      <w:divBdr>
        <w:top w:val="none" w:sz="0" w:space="0" w:color="auto"/>
        <w:left w:val="none" w:sz="0" w:space="0" w:color="auto"/>
        <w:bottom w:val="none" w:sz="0" w:space="0" w:color="auto"/>
        <w:right w:val="none" w:sz="0" w:space="0" w:color="auto"/>
      </w:divBdr>
    </w:div>
    <w:div w:id="49349922">
      <w:bodyDiv w:val="1"/>
      <w:marLeft w:val="0"/>
      <w:marRight w:val="0"/>
      <w:marTop w:val="0"/>
      <w:marBottom w:val="0"/>
      <w:divBdr>
        <w:top w:val="none" w:sz="0" w:space="0" w:color="auto"/>
        <w:left w:val="none" w:sz="0" w:space="0" w:color="auto"/>
        <w:bottom w:val="none" w:sz="0" w:space="0" w:color="auto"/>
        <w:right w:val="none" w:sz="0" w:space="0" w:color="auto"/>
      </w:divBdr>
    </w:div>
    <w:div w:id="51999570">
      <w:bodyDiv w:val="1"/>
      <w:marLeft w:val="0"/>
      <w:marRight w:val="0"/>
      <w:marTop w:val="0"/>
      <w:marBottom w:val="0"/>
      <w:divBdr>
        <w:top w:val="none" w:sz="0" w:space="0" w:color="auto"/>
        <w:left w:val="none" w:sz="0" w:space="0" w:color="auto"/>
        <w:bottom w:val="none" w:sz="0" w:space="0" w:color="auto"/>
        <w:right w:val="none" w:sz="0" w:space="0" w:color="auto"/>
      </w:divBdr>
    </w:div>
    <w:div w:id="53162841">
      <w:bodyDiv w:val="1"/>
      <w:marLeft w:val="0"/>
      <w:marRight w:val="0"/>
      <w:marTop w:val="0"/>
      <w:marBottom w:val="0"/>
      <w:divBdr>
        <w:top w:val="none" w:sz="0" w:space="0" w:color="auto"/>
        <w:left w:val="none" w:sz="0" w:space="0" w:color="auto"/>
        <w:bottom w:val="none" w:sz="0" w:space="0" w:color="auto"/>
        <w:right w:val="none" w:sz="0" w:space="0" w:color="auto"/>
      </w:divBdr>
    </w:div>
    <w:div w:id="113402598">
      <w:bodyDiv w:val="1"/>
      <w:marLeft w:val="0"/>
      <w:marRight w:val="0"/>
      <w:marTop w:val="0"/>
      <w:marBottom w:val="0"/>
      <w:divBdr>
        <w:top w:val="none" w:sz="0" w:space="0" w:color="auto"/>
        <w:left w:val="none" w:sz="0" w:space="0" w:color="auto"/>
        <w:bottom w:val="none" w:sz="0" w:space="0" w:color="auto"/>
        <w:right w:val="none" w:sz="0" w:space="0" w:color="auto"/>
      </w:divBdr>
    </w:div>
    <w:div w:id="113911715">
      <w:bodyDiv w:val="1"/>
      <w:marLeft w:val="0"/>
      <w:marRight w:val="0"/>
      <w:marTop w:val="0"/>
      <w:marBottom w:val="0"/>
      <w:divBdr>
        <w:top w:val="none" w:sz="0" w:space="0" w:color="auto"/>
        <w:left w:val="none" w:sz="0" w:space="0" w:color="auto"/>
        <w:bottom w:val="none" w:sz="0" w:space="0" w:color="auto"/>
        <w:right w:val="none" w:sz="0" w:space="0" w:color="auto"/>
      </w:divBdr>
    </w:div>
    <w:div w:id="122424610">
      <w:bodyDiv w:val="1"/>
      <w:marLeft w:val="0"/>
      <w:marRight w:val="0"/>
      <w:marTop w:val="0"/>
      <w:marBottom w:val="0"/>
      <w:divBdr>
        <w:top w:val="none" w:sz="0" w:space="0" w:color="auto"/>
        <w:left w:val="none" w:sz="0" w:space="0" w:color="auto"/>
        <w:bottom w:val="none" w:sz="0" w:space="0" w:color="auto"/>
        <w:right w:val="none" w:sz="0" w:space="0" w:color="auto"/>
      </w:divBdr>
    </w:div>
    <w:div w:id="128327970">
      <w:bodyDiv w:val="1"/>
      <w:marLeft w:val="0"/>
      <w:marRight w:val="0"/>
      <w:marTop w:val="0"/>
      <w:marBottom w:val="0"/>
      <w:divBdr>
        <w:top w:val="none" w:sz="0" w:space="0" w:color="auto"/>
        <w:left w:val="none" w:sz="0" w:space="0" w:color="auto"/>
        <w:bottom w:val="none" w:sz="0" w:space="0" w:color="auto"/>
        <w:right w:val="none" w:sz="0" w:space="0" w:color="auto"/>
      </w:divBdr>
    </w:div>
    <w:div w:id="143937199">
      <w:bodyDiv w:val="1"/>
      <w:marLeft w:val="0"/>
      <w:marRight w:val="0"/>
      <w:marTop w:val="0"/>
      <w:marBottom w:val="0"/>
      <w:divBdr>
        <w:top w:val="none" w:sz="0" w:space="0" w:color="auto"/>
        <w:left w:val="none" w:sz="0" w:space="0" w:color="auto"/>
        <w:bottom w:val="none" w:sz="0" w:space="0" w:color="auto"/>
        <w:right w:val="none" w:sz="0" w:space="0" w:color="auto"/>
      </w:divBdr>
    </w:div>
    <w:div w:id="151138752">
      <w:bodyDiv w:val="1"/>
      <w:marLeft w:val="0"/>
      <w:marRight w:val="0"/>
      <w:marTop w:val="0"/>
      <w:marBottom w:val="0"/>
      <w:divBdr>
        <w:top w:val="none" w:sz="0" w:space="0" w:color="auto"/>
        <w:left w:val="none" w:sz="0" w:space="0" w:color="auto"/>
        <w:bottom w:val="none" w:sz="0" w:space="0" w:color="auto"/>
        <w:right w:val="none" w:sz="0" w:space="0" w:color="auto"/>
      </w:divBdr>
    </w:div>
    <w:div w:id="169151214">
      <w:bodyDiv w:val="1"/>
      <w:marLeft w:val="0"/>
      <w:marRight w:val="0"/>
      <w:marTop w:val="0"/>
      <w:marBottom w:val="0"/>
      <w:divBdr>
        <w:top w:val="none" w:sz="0" w:space="0" w:color="auto"/>
        <w:left w:val="none" w:sz="0" w:space="0" w:color="auto"/>
        <w:bottom w:val="none" w:sz="0" w:space="0" w:color="auto"/>
        <w:right w:val="none" w:sz="0" w:space="0" w:color="auto"/>
      </w:divBdr>
    </w:div>
    <w:div w:id="178933486">
      <w:bodyDiv w:val="1"/>
      <w:marLeft w:val="0"/>
      <w:marRight w:val="0"/>
      <w:marTop w:val="0"/>
      <w:marBottom w:val="0"/>
      <w:divBdr>
        <w:top w:val="none" w:sz="0" w:space="0" w:color="auto"/>
        <w:left w:val="none" w:sz="0" w:space="0" w:color="auto"/>
        <w:bottom w:val="none" w:sz="0" w:space="0" w:color="auto"/>
        <w:right w:val="none" w:sz="0" w:space="0" w:color="auto"/>
      </w:divBdr>
    </w:div>
    <w:div w:id="269165464">
      <w:bodyDiv w:val="1"/>
      <w:marLeft w:val="0"/>
      <w:marRight w:val="0"/>
      <w:marTop w:val="0"/>
      <w:marBottom w:val="0"/>
      <w:divBdr>
        <w:top w:val="none" w:sz="0" w:space="0" w:color="auto"/>
        <w:left w:val="none" w:sz="0" w:space="0" w:color="auto"/>
        <w:bottom w:val="none" w:sz="0" w:space="0" w:color="auto"/>
        <w:right w:val="none" w:sz="0" w:space="0" w:color="auto"/>
      </w:divBdr>
    </w:div>
    <w:div w:id="309987505">
      <w:bodyDiv w:val="1"/>
      <w:marLeft w:val="0"/>
      <w:marRight w:val="0"/>
      <w:marTop w:val="0"/>
      <w:marBottom w:val="0"/>
      <w:divBdr>
        <w:top w:val="none" w:sz="0" w:space="0" w:color="auto"/>
        <w:left w:val="none" w:sz="0" w:space="0" w:color="auto"/>
        <w:bottom w:val="none" w:sz="0" w:space="0" w:color="auto"/>
        <w:right w:val="none" w:sz="0" w:space="0" w:color="auto"/>
      </w:divBdr>
    </w:div>
    <w:div w:id="319627149">
      <w:bodyDiv w:val="1"/>
      <w:marLeft w:val="0"/>
      <w:marRight w:val="0"/>
      <w:marTop w:val="0"/>
      <w:marBottom w:val="0"/>
      <w:divBdr>
        <w:top w:val="none" w:sz="0" w:space="0" w:color="auto"/>
        <w:left w:val="none" w:sz="0" w:space="0" w:color="auto"/>
        <w:bottom w:val="none" w:sz="0" w:space="0" w:color="auto"/>
        <w:right w:val="none" w:sz="0" w:space="0" w:color="auto"/>
      </w:divBdr>
    </w:div>
    <w:div w:id="376853828">
      <w:bodyDiv w:val="1"/>
      <w:marLeft w:val="0"/>
      <w:marRight w:val="0"/>
      <w:marTop w:val="0"/>
      <w:marBottom w:val="0"/>
      <w:divBdr>
        <w:top w:val="none" w:sz="0" w:space="0" w:color="auto"/>
        <w:left w:val="none" w:sz="0" w:space="0" w:color="auto"/>
        <w:bottom w:val="none" w:sz="0" w:space="0" w:color="auto"/>
        <w:right w:val="none" w:sz="0" w:space="0" w:color="auto"/>
      </w:divBdr>
    </w:div>
    <w:div w:id="387463365">
      <w:bodyDiv w:val="1"/>
      <w:marLeft w:val="0"/>
      <w:marRight w:val="0"/>
      <w:marTop w:val="0"/>
      <w:marBottom w:val="0"/>
      <w:divBdr>
        <w:top w:val="none" w:sz="0" w:space="0" w:color="auto"/>
        <w:left w:val="none" w:sz="0" w:space="0" w:color="auto"/>
        <w:bottom w:val="none" w:sz="0" w:space="0" w:color="auto"/>
        <w:right w:val="none" w:sz="0" w:space="0" w:color="auto"/>
      </w:divBdr>
    </w:div>
    <w:div w:id="408893403">
      <w:bodyDiv w:val="1"/>
      <w:marLeft w:val="0"/>
      <w:marRight w:val="0"/>
      <w:marTop w:val="0"/>
      <w:marBottom w:val="0"/>
      <w:divBdr>
        <w:top w:val="none" w:sz="0" w:space="0" w:color="auto"/>
        <w:left w:val="none" w:sz="0" w:space="0" w:color="auto"/>
        <w:bottom w:val="none" w:sz="0" w:space="0" w:color="auto"/>
        <w:right w:val="none" w:sz="0" w:space="0" w:color="auto"/>
      </w:divBdr>
    </w:div>
    <w:div w:id="410811665">
      <w:bodyDiv w:val="1"/>
      <w:marLeft w:val="0"/>
      <w:marRight w:val="0"/>
      <w:marTop w:val="0"/>
      <w:marBottom w:val="0"/>
      <w:divBdr>
        <w:top w:val="none" w:sz="0" w:space="0" w:color="auto"/>
        <w:left w:val="none" w:sz="0" w:space="0" w:color="auto"/>
        <w:bottom w:val="none" w:sz="0" w:space="0" w:color="auto"/>
        <w:right w:val="none" w:sz="0" w:space="0" w:color="auto"/>
      </w:divBdr>
    </w:div>
    <w:div w:id="414128781">
      <w:bodyDiv w:val="1"/>
      <w:marLeft w:val="0"/>
      <w:marRight w:val="0"/>
      <w:marTop w:val="0"/>
      <w:marBottom w:val="0"/>
      <w:divBdr>
        <w:top w:val="none" w:sz="0" w:space="0" w:color="auto"/>
        <w:left w:val="none" w:sz="0" w:space="0" w:color="auto"/>
        <w:bottom w:val="none" w:sz="0" w:space="0" w:color="auto"/>
        <w:right w:val="none" w:sz="0" w:space="0" w:color="auto"/>
      </w:divBdr>
    </w:div>
    <w:div w:id="423915688">
      <w:bodyDiv w:val="1"/>
      <w:marLeft w:val="0"/>
      <w:marRight w:val="0"/>
      <w:marTop w:val="0"/>
      <w:marBottom w:val="0"/>
      <w:divBdr>
        <w:top w:val="none" w:sz="0" w:space="0" w:color="auto"/>
        <w:left w:val="none" w:sz="0" w:space="0" w:color="auto"/>
        <w:bottom w:val="none" w:sz="0" w:space="0" w:color="auto"/>
        <w:right w:val="none" w:sz="0" w:space="0" w:color="auto"/>
      </w:divBdr>
    </w:div>
    <w:div w:id="452942595">
      <w:bodyDiv w:val="1"/>
      <w:marLeft w:val="0"/>
      <w:marRight w:val="0"/>
      <w:marTop w:val="0"/>
      <w:marBottom w:val="0"/>
      <w:divBdr>
        <w:top w:val="none" w:sz="0" w:space="0" w:color="auto"/>
        <w:left w:val="none" w:sz="0" w:space="0" w:color="auto"/>
        <w:bottom w:val="none" w:sz="0" w:space="0" w:color="auto"/>
        <w:right w:val="none" w:sz="0" w:space="0" w:color="auto"/>
      </w:divBdr>
    </w:div>
    <w:div w:id="453325307">
      <w:bodyDiv w:val="1"/>
      <w:marLeft w:val="0"/>
      <w:marRight w:val="0"/>
      <w:marTop w:val="0"/>
      <w:marBottom w:val="0"/>
      <w:divBdr>
        <w:top w:val="none" w:sz="0" w:space="0" w:color="auto"/>
        <w:left w:val="none" w:sz="0" w:space="0" w:color="auto"/>
        <w:bottom w:val="none" w:sz="0" w:space="0" w:color="auto"/>
        <w:right w:val="none" w:sz="0" w:space="0" w:color="auto"/>
      </w:divBdr>
    </w:div>
    <w:div w:id="477040320">
      <w:bodyDiv w:val="1"/>
      <w:marLeft w:val="0"/>
      <w:marRight w:val="0"/>
      <w:marTop w:val="0"/>
      <w:marBottom w:val="0"/>
      <w:divBdr>
        <w:top w:val="none" w:sz="0" w:space="0" w:color="auto"/>
        <w:left w:val="none" w:sz="0" w:space="0" w:color="auto"/>
        <w:bottom w:val="none" w:sz="0" w:space="0" w:color="auto"/>
        <w:right w:val="none" w:sz="0" w:space="0" w:color="auto"/>
      </w:divBdr>
    </w:div>
    <w:div w:id="481120975">
      <w:bodyDiv w:val="1"/>
      <w:marLeft w:val="0"/>
      <w:marRight w:val="0"/>
      <w:marTop w:val="0"/>
      <w:marBottom w:val="0"/>
      <w:divBdr>
        <w:top w:val="none" w:sz="0" w:space="0" w:color="auto"/>
        <w:left w:val="none" w:sz="0" w:space="0" w:color="auto"/>
        <w:bottom w:val="none" w:sz="0" w:space="0" w:color="auto"/>
        <w:right w:val="none" w:sz="0" w:space="0" w:color="auto"/>
      </w:divBdr>
    </w:div>
    <w:div w:id="517239490">
      <w:bodyDiv w:val="1"/>
      <w:marLeft w:val="0"/>
      <w:marRight w:val="0"/>
      <w:marTop w:val="0"/>
      <w:marBottom w:val="0"/>
      <w:divBdr>
        <w:top w:val="none" w:sz="0" w:space="0" w:color="auto"/>
        <w:left w:val="none" w:sz="0" w:space="0" w:color="auto"/>
        <w:bottom w:val="none" w:sz="0" w:space="0" w:color="auto"/>
        <w:right w:val="none" w:sz="0" w:space="0" w:color="auto"/>
      </w:divBdr>
    </w:div>
    <w:div w:id="521895412">
      <w:bodyDiv w:val="1"/>
      <w:marLeft w:val="0"/>
      <w:marRight w:val="0"/>
      <w:marTop w:val="0"/>
      <w:marBottom w:val="0"/>
      <w:divBdr>
        <w:top w:val="none" w:sz="0" w:space="0" w:color="auto"/>
        <w:left w:val="none" w:sz="0" w:space="0" w:color="auto"/>
        <w:bottom w:val="none" w:sz="0" w:space="0" w:color="auto"/>
        <w:right w:val="none" w:sz="0" w:space="0" w:color="auto"/>
      </w:divBdr>
    </w:div>
    <w:div w:id="522599212">
      <w:bodyDiv w:val="1"/>
      <w:marLeft w:val="0"/>
      <w:marRight w:val="0"/>
      <w:marTop w:val="0"/>
      <w:marBottom w:val="0"/>
      <w:divBdr>
        <w:top w:val="none" w:sz="0" w:space="0" w:color="auto"/>
        <w:left w:val="none" w:sz="0" w:space="0" w:color="auto"/>
        <w:bottom w:val="none" w:sz="0" w:space="0" w:color="auto"/>
        <w:right w:val="none" w:sz="0" w:space="0" w:color="auto"/>
      </w:divBdr>
      <w:divsChild>
        <w:div w:id="2136942090">
          <w:marLeft w:val="0"/>
          <w:marRight w:val="0"/>
          <w:marTop w:val="0"/>
          <w:marBottom w:val="0"/>
          <w:divBdr>
            <w:top w:val="none" w:sz="0" w:space="0" w:color="auto"/>
            <w:left w:val="none" w:sz="0" w:space="0" w:color="auto"/>
            <w:bottom w:val="none" w:sz="0" w:space="0" w:color="auto"/>
            <w:right w:val="none" w:sz="0" w:space="0" w:color="auto"/>
          </w:divBdr>
        </w:div>
        <w:div w:id="1552572076">
          <w:marLeft w:val="0"/>
          <w:marRight w:val="0"/>
          <w:marTop w:val="0"/>
          <w:marBottom w:val="0"/>
          <w:divBdr>
            <w:top w:val="none" w:sz="0" w:space="0" w:color="auto"/>
            <w:left w:val="none" w:sz="0" w:space="0" w:color="auto"/>
            <w:bottom w:val="none" w:sz="0" w:space="0" w:color="auto"/>
            <w:right w:val="none" w:sz="0" w:space="0" w:color="auto"/>
          </w:divBdr>
        </w:div>
      </w:divsChild>
    </w:div>
    <w:div w:id="573971978">
      <w:bodyDiv w:val="1"/>
      <w:marLeft w:val="0"/>
      <w:marRight w:val="0"/>
      <w:marTop w:val="0"/>
      <w:marBottom w:val="0"/>
      <w:divBdr>
        <w:top w:val="none" w:sz="0" w:space="0" w:color="auto"/>
        <w:left w:val="none" w:sz="0" w:space="0" w:color="auto"/>
        <w:bottom w:val="none" w:sz="0" w:space="0" w:color="auto"/>
        <w:right w:val="none" w:sz="0" w:space="0" w:color="auto"/>
      </w:divBdr>
    </w:div>
    <w:div w:id="599946769">
      <w:bodyDiv w:val="1"/>
      <w:marLeft w:val="0"/>
      <w:marRight w:val="0"/>
      <w:marTop w:val="0"/>
      <w:marBottom w:val="0"/>
      <w:divBdr>
        <w:top w:val="none" w:sz="0" w:space="0" w:color="auto"/>
        <w:left w:val="none" w:sz="0" w:space="0" w:color="auto"/>
        <w:bottom w:val="none" w:sz="0" w:space="0" w:color="auto"/>
        <w:right w:val="none" w:sz="0" w:space="0" w:color="auto"/>
      </w:divBdr>
    </w:div>
    <w:div w:id="635961483">
      <w:bodyDiv w:val="1"/>
      <w:marLeft w:val="0"/>
      <w:marRight w:val="0"/>
      <w:marTop w:val="0"/>
      <w:marBottom w:val="0"/>
      <w:divBdr>
        <w:top w:val="none" w:sz="0" w:space="0" w:color="auto"/>
        <w:left w:val="none" w:sz="0" w:space="0" w:color="auto"/>
        <w:bottom w:val="none" w:sz="0" w:space="0" w:color="auto"/>
        <w:right w:val="none" w:sz="0" w:space="0" w:color="auto"/>
      </w:divBdr>
    </w:div>
    <w:div w:id="644773456">
      <w:bodyDiv w:val="1"/>
      <w:marLeft w:val="0"/>
      <w:marRight w:val="0"/>
      <w:marTop w:val="0"/>
      <w:marBottom w:val="0"/>
      <w:divBdr>
        <w:top w:val="none" w:sz="0" w:space="0" w:color="auto"/>
        <w:left w:val="none" w:sz="0" w:space="0" w:color="auto"/>
        <w:bottom w:val="none" w:sz="0" w:space="0" w:color="auto"/>
        <w:right w:val="none" w:sz="0" w:space="0" w:color="auto"/>
      </w:divBdr>
    </w:div>
    <w:div w:id="649870248">
      <w:bodyDiv w:val="1"/>
      <w:marLeft w:val="0"/>
      <w:marRight w:val="0"/>
      <w:marTop w:val="0"/>
      <w:marBottom w:val="0"/>
      <w:divBdr>
        <w:top w:val="none" w:sz="0" w:space="0" w:color="auto"/>
        <w:left w:val="none" w:sz="0" w:space="0" w:color="auto"/>
        <w:bottom w:val="none" w:sz="0" w:space="0" w:color="auto"/>
        <w:right w:val="none" w:sz="0" w:space="0" w:color="auto"/>
      </w:divBdr>
    </w:div>
    <w:div w:id="656611138">
      <w:bodyDiv w:val="1"/>
      <w:marLeft w:val="0"/>
      <w:marRight w:val="0"/>
      <w:marTop w:val="0"/>
      <w:marBottom w:val="0"/>
      <w:divBdr>
        <w:top w:val="none" w:sz="0" w:space="0" w:color="auto"/>
        <w:left w:val="none" w:sz="0" w:space="0" w:color="auto"/>
        <w:bottom w:val="none" w:sz="0" w:space="0" w:color="auto"/>
        <w:right w:val="none" w:sz="0" w:space="0" w:color="auto"/>
      </w:divBdr>
    </w:div>
    <w:div w:id="661785990">
      <w:bodyDiv w:val="1"/>
      <w:marLeft w:val="0"/>
      <w:marRight w:val="0"/>
      <w:marTop w:val="0"/>
      <w:marBottom w:val="0"/>
      <w:divBdr>
        <w:top w:val="none" w:sz="0" w:space="0" w:color="auto"/>
        <w:left w:val="none" w:sz="0" w:space="0" w:color="auto"/>
        <w:bottom w:val="none" w:sz="0" w:space="0" w:color="auto"/>
        <w:right w:val="none" w:sz="0" w:space="0" w:color="auto"/>
      </w:divBdr>
    </w:div>
    <w:div w:id="672299482">
      <w:bodyDiv w:val="1"/>
      <w:marLeft w:val="0"/>
      <w:marRight w:val="0"/>
      <w:marTop w:val="0"/>
      <w:marBottom w:val="0"/>
      <w:divBdr>
        <w:top w:val="none" w:sz="0" w:space="0" w:color="auto"/>
        <w:left w:val="none" w:sz="0" w:space="0" w:color="auto"/>
        <w:bottom w:val="none" w:sz="0" w:space="0" w:color="auto"/>
        <w:right w:val="none" w:sz="0" w:space="0" w:color="auto"/>
      </w:divBdr>
    </w:div>
    <w:div w:id="680158111">
      <w:bodyDiv w:val="1"/>
      <w:marLeft w:val="0"/>
      <w:marRight w:val="0"/>
      <w:marTop w:val="0"/>
      <w:marBottom w:val="0"/>
      <w:divBdr>
        <w:top w:val="none" w:sz="0" w:space="0" w:color="auto"/>
        <w:left w:val="none" w:sz="0" w:space="0" w:color="auto"/>
        <w:bottom w:val="none" w:sz="0" w:space="0" w:color="auto"/>
        <w:right w:val="none" w:sz="0" w:space="0" w:color="auto"/>
      </w:divBdr>
    </w:div>
    <w:div w:id="684988030">
      <w:bodyDiv w:val="1"/>
      <w:marLeft w:val="0"/>
      <w:marRight w:val="0"/>
      <w:marTop w:val="0"/>
      <w:marBottom w:val="0"/>
      <w:divBdr>
        <w:top w:val="none" w:sz="0" w:space="0" w:color="auto"/>
        <w:left w:val="none" w:sz="0" w:space="0" w:color="auto"/>
        <w:bottom w:val="none" w:sz="0" w:space="0" w:color="auto"/>
        <w:right w:val="none" w:sz="0" w:space="0" w:color="auto"/>
      </w:divBdr>
    </w:div>
    <w:div w:id="704990719">
      <w:bodyDiv w:val="1"/>
      <w:marLeft w:val="0"/>
      <w:marRight w:val="0"/>
      <w:marTop w:val="0"/>
      <w:marBottom w:val="0"/>
      <w:divBdr>
        <w:top w:val="none" w:sz="0" w:space="0" w:color="auto"/>
        <w:left w:val="none" w:sz="0" w:space="0" w:color="auto"/>
        <w:bottom w:val="none" w:sz="0" w:space="0" w:color="auto"/>
        <w:right w:val="none" w:sz="0" w:space="0" w:color="auto"/>
      </w:divBdr>
    </w:div>
    <w:div w:id="713235124">
      <w:bodyDiv w:val="1"/>
      <w:marLeft w:val="0"/>
      <w:marRight w:val="0"/>
      <w:marTop w:val="0"/>
      <w:marBottom w:val="0"/>
      <w:divBdr>
        <w:top w:val="none" w:sz="0" w:space="0" w:color="auto"/>
        <w:left w:val="none" w:sz="0" w:space="0" w:color="auto"/>
        <w:bottom w:val="none" w:sz="0" w:space="0" w:color="auto"/>
        <w:right w:val="none" w:sz="0" w:space="0" w:color="auto"/>
      </w:divBdr>
    </w:div>
    <w:div w:id="717238332">
      <w:bodyDiv w:val="1"/>
      <w:marLeft w:val="0"/>
      <w:marRight w:val="0"/>
      <w:marTop w:val="0"/>
      <w:marBottom w:val="0"/>
      <w:divBdr>
        <w:top w:val="none" w:sz="0" w:space="0" w:color="auto"/>
        <w:left w:val="none" w:sz="0" w:space="0" w:color="auto"/>
        <w:bottom w:val="none" w:sz="0" w:space="0" w:color="auto"/>
        <w:right w:val="none" w:sz="0" w:space="0" w:color="auto"/>
      </w:divBdr>
    </w:div>
    <w:div w:id="739643656">
      <w:bodyDiv w:val="1"/>
      <w:marLeft w:val="0"/>
      <w:marRight w:val="0"/>
      <w:marTop w:val="0"/>
      <w:marBottom w:val="0"/>
      <w:divBdr>
        <w:top w:val="none" w:sz="0" w:space="0" w:color="auto"/>
        <w:left w:val="none" w:sz="0" w:space="0" w:color="auto"/>
        <w:bottom w:val="none" w:sz="0" w:space="0" w:color="auto"/>
        <w:right w:val="none" w:sz="0" w:space="0" w:color="auto"/>
      </w:divBdr>
    </w:div>
    <w:div w:id="746806606">
      <w:bodyDiv w:val="1"/>
      <w:marLeft w:val="0"/>
      <w:marRight w:val="0"/>
      <w:marTop w:val="0"/>
      <w:marBottom w:val="0"/>
      <w:divBdr>
        <w:top w:val="none" w:sz="0" w:space="0" w:color="auto"/>
        <w:left w:val="none" w:sz="0" w:space="0" w:color="auto"/>
        <w:bottom w:val="none" w:sz="0" w:space="0" w:color="auto"/>
        <w:right w:val="none" w:sz="0" w:space="0" w:color="auto"/>
      </w:divBdr>
    </w:div>
    <w:div w:id="801188900">
      <w:bodyDiv w:val="1"/>
      <w:marLeft w:val="0"/>
      <w:marRight w:val="0"/>
      <w:marTop w:val="0"/>
      <w:marBottom w:val="0"/>
      <w:divBdr>
        <w:top w:val="none" w:sz="0" w:space="0" w:color="auto"/>
        <w:left w:val="none" w:sz="0" w:space="0" w:color="auto"/>
        <w:bottom w:val="none" w:sz="0" w:space="0" w:color="auto"/>
        <w:right w:val="none" w:sz="0" w:space="0" w:color="auto"/>
      </w:divBdr>
    </w:div>
    <w:div w:id="808669723">
      <w:bodyDiv w:val="1"/>
      <w:marLeft w:val="0"/>
      <w:marRight w:val="0"/>
      <w:marTop w:val="0"/>
      <w:marBottom w:val="0"/>
      <w:divBdr>
        <w:top w:val="none" w:sz="0" w:space="0" w:color="auto"/>
        <w:left w:val="none" w:sz="0" w:space="0" w:color="auto"/>
        <w:bottom w:val="none" w:sz="0" w:space="0" w:color="auto"/>
        <w:right w:val="none" w:sz="0" w:space="0" w:color="auto"/>
      </w:divBdr>
    </w:div>
    <w:div w:id="815029326">
      <w:bodyDiv w:val="1"/>
      <w:marLeft w:val="0"/>
      <w:marRight w:val="0"/>
      <w:marTop w:val="0"/>
      <w:marBottom w:val="0"/>
      <w:divBdr>
        <w:top w:val="none" w:sz="0" w:space="0" w:color="auto"/>
        <w:left w:val="none" w:sz="0" w:space="0" w:color="auto"/>
        <w:bottom w:val="none" w:sz="0" w:space="0" w:color="auto"/>
        <w:right w:val="none" w:sz="0" w:space="0" w:color="auto"/>
      </w:divBdr>
    </w:div>
    <w:div w:id="932469334">
      <w:bodyDiv w:val="1"/>
      <w:marLeft w:val="0"/>
      <w:marRight w:val="0"/>
      <w:marTop w:val="0"/>
      <w:marBottom w:val="0"/>
      <w:divBdr>
        <w:top w:val="none" w:sz="0" w:space="0" w:color="auto"/>
        <w:left w:val="none" w:sz="0" w:space="0" w:color="auto"/>
        <w:bottom w:val="none" w:sz="0" w:space="0" w:color="auto"/>
        <w:right w:val="none" w:sz="0" w:space="0" w:color="auto"/>
      </w:divBdr>
    </w:div>
    <w:div w:id="976955773">
      <w:bodyDiv w:val="1"/>
      <w:marLeft w:val="0"/>
      <w:marRight w:val="0"/>
      <w:marTop w:val="0"/>
      <w:marBottom w:val="0"/>
      <w:divBdr>
        <w:top w:val="none" w:sz="0" w:space="0" w:color="auto"/>
        <w:left w:val="none" w:sz="0" w:space="0" w:color="auto"/>
        <w:bottom w:val="none" w:sz="0" w:space="0" w:color="auto"/>
        <w:right w:val="none" w:sz="0" w:space="0" w:color="auto"/>
      </w:divBdr>
    </w:div>
    <w:div w:id="1035691019">
      <w:bodyDiv w:val="1"/>
      <w:marLeft w:val="0"/>
      <w:marRight w:val="0"/>
      <w:marTop w:val="0"/>
      <w:marBottom w:val="0"/>
      <w:divBdr>
        <w:top w:val="none" w:sz="0" w:space="0" w:color="auto"/>
        <w:left w:val="none" w:sz="0" w:space="0" w:color="auto"/>
        <w:bottom w:val="none" w:sz="0" w:space="0" w:color="auto"/>
        <w:right w:val="none" w:sz="0" w:space="0" w:color="auto"/>
      </w:divBdr>
    </w:div>
    <w:div w:id="1039477783">
      <w:bodyDiv w:val="1"/>
      <w:marLeft w:val="0"/>
      <w:marRight w:val="0"/>
      <w:marTop w:val="0"/>
      <w:marBottom w:val="0"/>
      <w:divBdr>
        <w:top w:val="none" w:sz="0" w:space="0" w:color="auto"/>
        <w:left w:val="none" w:sz="0" w:space="0" w:color="auto"/>
        <w:bottom w:val="none" w:sz="0" w:space="0" w:color="auto"/>
        <w:right w:val="none" w:sz="0" w:space="0" w:color="auto"/>
      </w:divBdr>
    </w:div>
    <w:div w:id="1039545561">
      <w:bodyDiv w:val="1"/>
      <w:marLeft w:val="0"/>
      <w:marRight w:val="0"/>
      <w:marTop w:val="0"/>
      <w:marBottom w:val="0"/>
      <w:divBdr>
        <w:top w:val="none" w:sz="0" w:space="0" w:color="auto"/>
        <w:left w:val="none" w:sz="0" w:space="0" w:color="auto"/>
        <w:bottom w:val="none" w:sz="0" w:space="0" w:color="auto"/>
        <w:right w:val="none" w:sz="0" w:space="0" w:color="auto"/>
      </w:divBdr>
    </w:div>
    <w:div w:id="1123110275">
      <w:bodyDiv w:val="1"/>
      <w:marLeft w:val="0"/>
      <w:marRight w:val="0"/>
      <w:marTop w:val="0"/>
      <w:marBottom w:val="0"/>
      <w:divBdr>
        <w:top w:val="none" w:sz="0" w:space="0" w:color="auto"/>
        <w:left w:val="none" w:sz="0" w:space="0" w:color="auto"/>
        <w:bottom w:val="none" w:sz="0" w:space="0" w:color="auto"/>
        <w:right w:val="none" w:sz="0" w:space="0" w:color="auto"/>
      </w:divBdr>
    </w:div>
    <w:div w:id="1128815899">
      <w:bodyDiv w:val="1"/>
      <w:marLeft w:val="0"/>
      <w:marRight w:val="0"/>
      <w:marTop w:val="0"/>
      <w:marBottom w:val="0"/>
      <w:divBdr>
        <w:top w:val="none" w:sz="0" w:space="0" w:color="auto"/>
        <w:left w:val="none" w:sz="0" w:space="0" w:color="auto"/>
        <w:bottom w:val="none" w:sz="0" w:space="0" w:color="auto"/>
        <w:right w:val="none" w:sz="0" w:space="0" w:color="auto"/>
      </w:divBdr>
    </w:div>
    <w:div w:id="1178085158">
      <w:bodyDiv w:val="1"/>
      <w:marLeft w:val="0"/>
      <w:marRight w:val="0"/>
      <w:marTop w:val="0"/>
      <w:marBottom w:val="0"/>
      <w:divBdr>
        <w:top w:val="none" w:sz="0" w:space="0" w:color="auto"/>
        <w:left w:val="none" w:sz="0" w:space="0" w:color="auto"/>
        <w:bottom w:val="none" w:sz="0" w:space="0" w:color="auto"/>
        <w:right w:val="none" w:sz="0" w:space="0" w:color="auto"/>
      </w:divBdr>
    </w:div>
    <w:div w:id="1180049204">
      <w:bodyDiv w:val="1"/>
      <w:marLeft w:val="0"/>
      <w:marRight w:val="0"/>
      <w:marTop w:val="0"/>
      <w:marBottom w:val="0"/>
      <w:divBdr>
        <w:top w:val="none" w:sz="0" w:space="0" w:color="auto"/>
        <w:left w:val="none" w:sz="0" w:space="0" w:color="auto"/>
        <w:bottom w:val="none" w:sz="0" w:space="0" w:color="auto"/>
        <w:right w:val="none" w:sz="0" w:space="0" w:color="auto"/>
      </w:divBdr>
    </w:div>
    <w:div w:id="1181969002">
      <w:bodyDiv w:val="1"/>
      <w:marLeft w:val="0"/>
      <w:marRight w:val="0"/>
      <w:marTop w:val="0"/>
      <w:marBottom w:val="0"/>
      <w:divBdr>
        <w:top w:val="none" w:sz="0" w:space="0" w:color="auto"/>
        <w:left w:val="none" w:sz="0" w:space="0" w:color="auto"/>
        <w:bottom w:val="none" w:sz="0" w:space="0" w:color="auto"/>
        <w:right w:val="none" w:sz="0" w:space="0" w:color="auto"/>
      </w:divBdr>
    </w:div>
    <w:div w:id="1186141856">
      <w:bodyDiv w:val="1"/>
      <w:marLeft w:val="0"/>
      <w:marRight w:val="0"/>
      <w:marTop w:val="0"/>
      <w:marBottom w:val="0"/>
      <w:divBdr>
        <w:top w:val="none" w:sz="0" w:space="0" w:color="auto"/>
        <w:left w:val="none" w:sz="0" w:space="0" w:color="auto"/>
        <w:bottom w:val="none" w:sz="0" w:space="0" w:color="auto"/>
        <w:right w:val="none" w:sz="0" w:space="0" w:color="auto"/>
      </w:divBdr>
    </w:div>
    <w:div w:id="1190948056">
      <w:bodyDiv w:val="1"/>
      <w:marLeft w:val="0"/>
      <w:marRight w:val="0"/>
      <w:marTop w:val="0"/>
      <w:marBottom w:val="0"/>
      <w:divBdr>
        <w:top w:val="none" w:sz="0" w:space="0" w:color="auto"/>
        <w:left w:val="none" w:sz="0" w:space="0" w:color="auto"/>
        <w:bottom w:val="none" w:sz="0" w:space="0" w:color="auto"/>
        <w:right w:val="none" w:sz="0" w:space="0" w:color="auto"/>
      </w:divBdr>
    </w:div>
    <w:div w:id="1200629833">
      <w:bodyDiv w:val="1"/>
      <w:marLeft w:val="0"/>
      <w:marRight w:val="0"/>
      <w:marTop w:val="0"/>
      <w:marBottom w:val="0"/>
      <w:divBdr>
        <w:top w:val="none" w:sz="0" w:space="0" w:color="auto"/>
        <w:left w:val="none" w:sz="0" w:space="0" w:color="auto"/>
        <w:bottom w:val="none" w:sz="0" w:space="0" w:color="auto"/>
        <w:right w:val="none" w:sz="0" w:space="0" w:color="auto"/>
      </w:divBdr>
    </w:div>
    <w:div w:id="1206984206">
      <w:bodyDiv w:val="1"/>
      <w:marLeft w:val="0"/>
      <w:marRight w:val="0"/>
      <w:marTop w:val="0"/>
      <w:marBottom w:val="0"/>
      <w:divBdr>
        <w:top w:val="none" w:sz="0" w:space="0" w:color="auto"/>
        <w:left w:val="none" w:sz="0" w:space="0" w:color="auto"/>
        <w:bottom w:val="none" w:sz="0" w:space="0" w:color="auto"/>
        <w:right w:val="none" w:sz="0" w:space="0" w:color="auto"/>
      </w:divBdr>
    </w:div>
    <w:div w:id="1215002264">
      <w:bodyDiv w:val="1"/>
      <w:marLeft w:val="0"/>
      <w:marRight w:val="0"/>
      <w:marTop w:val="0"/>
      <w:marBottom w:val="0"/>
      <w:divBdr>
        <w:top w:val="none" w:sz="0" w:space="0" w:color="auto"/>
        <w:left w:val="none" w:sz="0" w:space="0" w:color="auto"/>
        <w:bottom w:val="none" w:sz="0" w:space="0" w:color="auto"/>
        <w:right w:val="none" w:sz="0" w:space="0" w:color="auto"/>
      </w:divBdr>
    </w:div>
    <w:div w:id="1227183233">
      <w:bodyDiv w:val="1"/>
      <w:marLeft w:val="0"/>
      <w:marRight w:val="0"/>
      <w:marTop w:val="0"/>
      <w:marBottom w:val="0"/>
      <w:divBdr>
        <w:top w:val="none" w:sz="0" w:space="0" w:color="auto"/>
        <w:left w:val="none" w:sz="0" w:space="0" w:color="auto"/>
        <w:bottom w:val="none" w:sz="0" w:space="0" w:color="auto"/>
        <w:right w:val="none" w:sz="0" w:space="0" w:color="auto"/>
      </w:divBdr>
    </w:div>
    <w:div w:id="1261184480">
      <w:bodyDiv w:val="1"/>
      <w:marLeft w:val="0"/>
      <w:marRight w:val="0"/>
      <w:marTop w:val="0"/>
      <w:marBottom w:val="0"/>
      <w:divBdr>
        <w:top w:val="none" w:sz="0" w:space="0" w:color="auto"/>
        <w:left w:val="none" w:sz="0" w:space="0" w:color="auto"/>
        <w:bottom w:val="none" w:sz="0" w:space="0" w:color="auto"/>
        <w:right w:val="none" w:sz="0" w:space="0" w:color="auto"/>
      </w:divBdr>
    </w:div>
    <w:div w:id="1264338200">
      <w:bodyDiv w:val="1"/>
      <w:marLeft w:val="0"/>
      <w:marRight w:val="0"/>
      <w:marTop w:val="0"/>
      <w:marBottom w:val="0"/>
      <w:divBdr>
        <w:top w:val="none" w:sz="0" w:space="0" w:color="auto"/>
        <w:left w:val="none" w:sz="0" w:space="0" w:color="auto"/>
        <w:bottom w:val="none" w:sz="0" w:space="0" w:color="auto"/>
        <w:right w:val="none" w:sz="0" w:space="0" w:color="auto"/>
      </w:divBdr>
    </w:div>
    <w:div w:id="1309898472">
      <w:bodyDiv w:val="1"/>
      <w:marLeft w:val="0"/>
      <w:marRight w:val="0"/>
      <w:marTop w:val="0"/>
      <w:marBottom w:val="0"/>
      <w:divBdr>
        <w:top w:val="none" w:sz="0" w:space="0" w:color="auto"/>
        <w:left w:val="none" w:sz="0" w:space="0" w:color="auto"/>
        <w:bottom w:val="none" w:sz="0" w:space="0" w:color="auto"/>
        <w:right w:val="none" w:sz="0" w:space="0" w:color="auto"/>
      </w:divBdr>
    </w:div>
    <w:div w:id="1378967589">
      <w:bodyDiv w:val="1"/>
      <w:marLeft w:val="0"/>
      <w:marRight w:val="0"/>
      <w:marTop w:val="0"/>
      <w:marBottom w:val="0"/>
      <w:divBdr>
        <w:top w:val="none" w:sz="0" w:space="0" w:color="auto"/>
        <w:left w:val="none" w:sz="0" w:space="0" w:color="auto"/>
        <w:bottom w:val="none" w:sz="0" w:space="0" w:color="auto"/>
        <w:right w:val="none" w:sz="0" w:space="0" w:color="auto"/>
      </w:divBdr>
      <w:divsChild>
        <w:div w:id="416439796">
          <w:marLeft w:val="0"/>
          <w:marRight w:val="0"/>
          <w:marTop w:val="0"/>
          <w:marBottom w:val="0"/>
          <w:divBdr>
            <w:top w:val="none" w:sz="0" w:space="0" w:color="auto"/>
            <w:left w:val="none" w:sz="0" w:space="0" w:color="auto"/>
            <w:bottom w:val="none" w:sz="0" w:space="0" w:color="auto"/>
            <w:right w:val="none" w:sz="0" w:space="0" w:color="auto"/>
          </w:divBdr>
        </w:div>
        <w:div w:id="120344040">
          <w:marLeft w:val="0"/>
          <w:marRight w:val="0"/>
          <w:marTop w:val="0"/>
          <w:marBottom w:val="0"/>
          <w:divBdr>
            <w:top w:val="none" w:sz="0" w:space="0" w:color="auto"/>
            <w:left w:val="none" w:sz="0" w:space="0" w:color="auto"/>
            <w:bottom w:val="none" w:sz="0" w:space="0" w:color="auto"/>
            <w:right w:val="none" w:sz="0" w:space="0" w:color="auto"/>
          </w:divBdr>
        </w:div>
      </w:divsChild>
    </w:div>
    <w:div w:id="1423601727">
      <w:bodyDiv w:val="1"/>
      <w:marLeft w:val="0"/>
      <w:marRight w:val="0"/>
      <w:marTop w:val="0"/>
      <w:marBottom w:val="0"/>
      <w:divBdr>
        <w:top w:val="none" w:sz="0" w:space="0" w:color="auto"/>
        <w:left w:val="none" w:sz="0" w:space="0" w:color="auto"/>
        <w:bottom w:val="none" w:sz="0" w:space="0" w:color="auto"/>
        <w:right w:val="none" w:sz="0" w:space="0" w:color="auto"/>
      </w:divBdr>
    </w:div>
    <w:div w:id="1424301293">
      <w:bodyDiv w:val="1"/>
      <w:marLeft w:val="0"/>
      <w:marRight w:val="0"/>
      <w:marTop w:val="0"/>
      <w:marBottom w:val="0"/>
      <w:divBdr>
        <w:top w:val="none" w:sz="0" w:space="0" w:color="auto"/>
        <w:left w:val="none" w:sz="0" w:space="0" w:color="auto"/>
        <w:bottom w:val="none" w:sz="0" w:space="0" w:color="auto"/>
        <w:right w:val="none" w:sz="0" w:space="0" w:color="auto"/>
      </w:divBdr>
    </w:div>
    <w:div w:id="1459225437">
      <w:bodyDiv w:val="1"/>
      <w:marLeft w:val="0"/>
      <w:marRight w:val="0"/>
      <w:marTop w:val="0"/>
      <w:marBottom w:val="0"/>
      <w:divBdr>
        <w:top w:val="none" w:sz="0" w:space="0" w:color="auto"/>
        <w:left w:val="none" w:sz="0" w:space="0" w:color="auto"/>
        <w:bottom w:val="none" w:sz="0" w:space="0" w:color="auto"/>
        <w:right w:val="none" w:sz="0" w:space="0" w:color="auto"/>
      </w:divBdr>
    </w:div>
    <w:div w:id="1459225580">
      <w:bodyDiv w:val="1"/>
      <w:marLeft w:val="0"/>
      <w:marRight w:val="0"/>
      <w:marTop w:val="0"/>
      <w:marBottom w:val="0"/>
      <w:divBdr>
        <w:top w:val="none" w:sz="0" w:space="0" w:color="auto"/>
        <w:left w:val="none" w:sz="0" w:space="0" w:color="auto"/>
        <w:bottom w:val="none" w:sz="0" w:space="0" w:color="auto"/>
        <w:right w:val="none" w:sz="0" w:space="0" w:color="auto"/>
      </w:divBdr>
    </w:div>
    <w:div w:id="1482774192">
      <w:bodyDiv w:val="1"/>
      <w:marLeft w:val="0"/>
      <w:marRight w:val="0"/>
      <w:marTop w:val="0"/>
      <w:marBottom w:val="0"/>
      <w:divBdr>
        <w:top w:val="none" w:sz="0" w:space="0" w:color="auto"/>
        <w:left w:val="none" w:sz="0" w:space="0" w:color="auto"/>
        <w:bottom w:val="none" w:sz="0" w:space="0" w:color="auto"/>
        <w:right w:val="none" w:sz="0" w:space="0" w:color="auto"/>
      </w:divBdr>
    </w:div>
    <w:div w:id="1487042471">
      <w:bodyDiv w:val="1"/>
      <w:marLeft w:val="0"/>
      <w:marRight w:val="0"/>
      <w:marTop w:val="0"/>
      <w:marBottom w:val="0"/>
      <w:divBdr>
        <w:top w:val="none" w:sz="0" w:space="0" w:color="auto"/>
        <w:left w:val="none" w:sz="0" w:space="0" w:color="auto"/>
        <w:bottom w:val="none" w:sz="0" w:space="0" w:color="auto"/>
        <w:right w:val="none" w:sz="0" w:space="0" w:color="auto"/>
      </w:divBdr>
    </w:div>
    <w:div w:id="1498184226">
      <w:bodyDiv w:val="1"/>
      <w:marLeft w:val="0"/>
      <w:marRight w:val="0"/>
      <w:marTop w:val="0"/>
      <w:marBottom w:val="0"/>
      <w:divBdr>
        <w:top w:val="none" w:sz="0" w:space="0" w:color="auto"/>
        <w:left w:val="none" w:sz="0" w:space="0" w:color="auto"/>
        <w:bottom w:val="none" w:sz="0" w:space="0" w:color="auto"/>
        <w:right w:val="none" w:sz="0" w:space="0" w:color="auto"/>
      </w:divBdr>
    </w:div>
    <w:div w:id="1570117497">
      <w:bodyDiv w:val="1"/>
      <w:marLeft w:val="0"/>
      <w:marRight w:val="0"/>
      <w:marTop w:val="0"/>
      <w:marBottom w:val="0"/>
      <w:divBdr>
        <w:top w:val="none" w:sz="0" w:space="0" w:color="auto"/>
        <w:left w:val="none" w:sz="0" w:space="0" w:color="auto"/>
        <w:bottom w:val="none" w:sz="0" w:space="0" w:color="auto"/>
        <w:right w:val="none" w:sz="0" w:space="0" w:color="auto"/>
      </w:divBdr>
    </w:div>
    <w:div w:id="1599749704">
      <w:bodyDiv w:val="1"/>
      <w:marLeft w:val="0"/>
      <w:marRight w:val="0"/>
      <w:marTop w:val="0"/>
      <w:marBottom w:val="0"/>
      <w:divBdr>
        <w:top w:val="none" w:sz="0" w:space="0" w:color="auto"/>
        <w:left w:val="none" w:sz="0" w:space="0" w:color="auto"/>
        <w:bottom w:val="none" w:sz="0" w:space="0" w:color="auto"/>
        <w:right w:val="none" w:sz="0" w:space="0" w:color="auto"/>
      </w:divBdr>
    </w:div>
    <w:div w:id="1617828073">
      <w:bodyDiv w:val="1"/>
      <w:marLeft w:val="0"/>
      <w:marRight w:val="0"/>
      <w:marTop w:val="0"/>
      <w:marBottom w:val="0"/>
      <w:divBdr>
        <w:top w:val="none" w:sz="0" w:space="0" w:color="auto"/>
        <w:left w:val="none" w:sz="0" w:space="0" w:color="auto"/>
        <w:bottom w:val="none" w:sz="0" w:space="0" w:color="auto"/>
        <w:right w:val="none" w:sz="0" w:space="0" w:color="auto"/>
      </w:divBdr>
    </w:div>
    <w:div w:id="1623342128">
      <w:bodyDiv w:val="1"/>
      <w:marLeft w:val="0"/>
      <w:marRight w:val="0"/>
      <w:marTop w:val="0"/>
      <w:marBottom w:val="0"/>
      <w:divBdr>
        <w:top w:val="none" w:sz="0" w:space="0" w:color="auto"/>
        <w:left w:val="none" w:sz="0" w:space="0" w:color="auto"/>
        <w:bottom w:val="none" w:sz="0" w:space="0" w:color="auto"/>
        <w:right w:val="none" w:sz="0" w:space="0" w:color="auto"/>
      </w:divBdr>
    </w:div>
    <w:div w:id="1633631066">
      <w:bodyDiv w:val="1"/>
      <w:marLeft w:val="0"/>
      <w:marRight w:val="0"/>
      <w:marTop w:val="0"/>
      <w:marBottom w:val="0"/>
      <w:divBdr>
        <w:top w:val="none" w:sz="0" w:space="0" w:color="auto"/>
        <w:left w:val="none" w:sz="0" w:space="0" w:color="auto"/>
        <w:bottom w:val="none" w:sz="0" w:space="0" w:color="auto"/>
        <w:right w:val="none" w:sz="0" w:space="0" w:color="auto"/>
      </w:divBdr>
    </w:div>
    <w:div w:id="1688285777">
      <w:bodyDiv w:val="1"/>
      <w:marLeft w:val="0"/>
      <w:marRight w:val="0"/>
      <w:marTop w:val="0"/>
      <w:marBottom w:val="0"/>
      <w:divBdr>
        <w:top w:val="none" w:sz="0" w:space="0" w:color="auto"/>
        <w:left w:val="none" w:sz="0" w:space="0" w:color="auto"/>
        <w:bottom w:val="none" w:sz="0" w:space="0" w:color="auto"/>
        <w:right w:val="none" w:sz="0" w:space="0" w:color="auto"/>
      </w:divBdr>
    </w:div>
    <w:div w:id="1689136072">
      <w:bodyDiv w:val="1"/>
      <w:marLeft w:val="0"/>
      <w:marRight w:val="0"/>
      <w:marTop w:val="0"/>
      <w:marBottom w:val="0"/>
      <w:divBdr>
        <w:top w:val="none" w:sz="0" w:space="0" w:color="auto"/>
        <w:left w:val="none" w:sz="0" w:space="0" w:color="auto"/>
        <w:bottom w:val="none" w:sz="0" w:space="0" w:color="auto"/>
        <w:right w:val="none" w:sz="0" w:space="0" w:color="auto"/>
      </w:divBdr>
    </w:div>
    <w:div w:id="1692491034">
      <w:bodyDiv w:val="1"/>
      <w:marLeft w:val="0"/>
      <w:marRight w:val="0"/>
      <w:marTop w:val="0"/>
      <w:marBottom w:val="0"/>
      <w:divBdr>
        <w:top w:val="none" w:sz="0" w:space="0" w:color="auto"/>
        <w:left w:val="none" w:sz="0" w:space="0" w:color="auto"/>
        <w:bottom w:val="none" w:sz="0" w:space="0" w:color="auto"/>
        <w:right w:val="none" w:sz="0" w:space="0" w:color="auto"/>
      </w:divBdr>
    </w:div>
    <w:div w:id="1696036775">
      <w:bodyDiv w:val="1"/>
      <w:marLeft w:val="0"/>
      <w:marRight w:val="0"/>
      <w:marTop w:val="0"/>
      <w:marBottom w:val="0"/>
      <w:divBdr>
        <w:top w:val="none" w:sz="0" w:space="0" w:color="auto"/>
        <w:left w:val="none" w:sz="0" w:space="0" w:color="auto"/>
        <w:bottom w:val="none" w:sz="0" w:space="0" w:color="auto"/>
        <w:right w:val="none" w:sz="0" w:space="0" w:color="auto"/>
      </w:divBdr>
    </w:div>
    <w:div w:id="1715349603">
      <w:bodyDiv w:val="1"/>
      <w:marLeft w:val="0"/>
      <w:marRight w:val="0"/>
      <w:marTop w:val="0"/>
      <w:marBottom w:val="0"/>
      <w:divBdr>
        <w:top w:val="none" w:sz="0" w:space="0" w:color="auto"/>
        <w:left w:val="none" w:sz="0" w:space="0" w:color="auto"/>
        <w:bottom w:val="none" w:sz="0" w:space="0" w:color="auto"/>
        <w:right w:val="none" w:sz="0" w:space="0" w:color="auto"/>
      </w:divBdr>
    </w:div>
    <w:div w:id="1757480770">
      <w:bodyDiv w:val="1"/>
      <w:marLeft w:val="0"/>
      <w:marRight w:val="0"/>
      <w:marTop w:val="0"/>
      <w:marBottom w:val="0"/>
      <w:divBdr>
        <w:top w:val="none" w:sz="0" w:space="0" w:color="auto"/>
        <w:left w:val="none" w:sz="0" w:space="0" w:color="auto"/>
        <w:bottom w:val="none" w:sz="0" w:space="0" w:color="auto"/>
        <w:right w:val="none" w:sz="0" w:space="0" w:color="auto"/>
      </w:divBdr>
    </w:div>
    <w:div w:id="1788043121">
      <w:bodyDiv w:val="1"/>
      <w:marLeft w:val="0"/>
      <w:marRight w:val="0"/>
      <w:marTop w:val="0"/>
      <w:marBottom w:val="0"/>
      <w:divBdr>
        <w:top w:val="none" w:sz="0" w:space="0" w:color="auto"/>
        <w:left w:val="none" w:sz="0" w:space="0" w:color="auto"/>
        <w:bottom w:val="none" w:sz="0" w:space="0" w:color="auto"/>
        <w:right w:val="none" w:sz="0" w:space="0" w:color="auto"/>
      </w:divBdr>
    </w:div>
    <w:div w:id="1789354141">
      <w:bodyDiv w:val="1"/>
      <w:marLeft w:val="0"/>
      <w:marRight w:val="0"/>
      <w:marTop w:val="0"/>
      <w:marBottom w:val="0"/>
      <w:divBdr>
        <w:top w:val="none" w:sz="0" w:space="0" w:color="auto"/>
        <w:left w:val="none" w:sz="0" w:space="0" w:color="auto"/>
        <w:bottom w:val="none" w:sz="0" w:space="0" w:color="auto"/>
        <w:right w:val="none" w:sz="0" w:space="0" w:color="auto"/>
      </w:divBdr>
    </w:div>
    <w:div w:id="1797867540">
      <w:bodyDiv w:val="1"/>
      <w:marLeft w:val="0"/>
      <w:marRight w:val="0"/>
      <w:marTop w:val="0"/>
      <w:marBottom w:val="0"/>
      <w:divBdr>
        <w:top w:val="none" w:sz="0" w:space="0" w:color="auto"/>
        <w:left w:val="none" w:sz="0" w:space="0" w:color="auto"/>
        <w:bottom w:val="none" w:sz="0" w:space="0" w:color="auto"/>
        <w:right w:val="none" w:sz="0" w:space="0" w:color="auto"/>
      </w:divBdr>
    </w:div>
    <w:div w:id="1805738215">
      <w:bodyDiv w:val="1"/>
      <w:marLeft w:val="0"/>
      <w:marRight w:val="0"/>
      <w:marTop w:val="0"/>
      <w:marBottom w:val="0"/>
      <w:divBdr>
        <w:top w:val="none" w:sz="0" w:space="0" w:color="auto"/>
        <w:left w:val="none" w:sz="0" w:space="0" w:color="auto"/>
        <w:bottom w:val="none" w:sz="0" w:space="0" w:color="auto"/>
        <w:right w:val="none" w:sz="0" w:space="0" w:color="auto"/>
      </w:divBdr>
    </w:div>
    <w:div w:id="1810631483">
      <w:bodyDiv w:val="1"/>
      <w:marLeft w:val="0"/>
      <w:marRight w:val="0"/>
      <w:marTop w:val="0"/>
      <w:marBottom w:val="0"/>
      <w:divBdr>
        <w:top w:val="none" w:sz="0" w:space="0" w:color="auto"/>
        <w:left w:val="none" w:sz="0" w:space="0" w:color="auto"/>
        <w:bottom w:val="none" w:sz="0" w:space="0" w:color="auto"/>
        <w:right w:val="none" w:sz="0" w:space="0" w:color="auto"/>
      </w:divBdr>
    </w:div>
    <w:div w:id="1937014238">
      <w:bodyDiv w:val="1"/>
      <w:marLeft w:val="0"/>
      <w:marRight w:val="0"/>
      <w:marTop w:val="0"/>
      <w:marBottom w:val="0"/>
      <w:divBdr>
        <w:top w:val="none" w:sz="0" w:space="0" w:color="auto"/>
        <w:left w:val="none" w:sz="0" w:space="0" w:color="auto"/>
        <w:bottom w:val="none" w:sz="0" w:space="0" w:color="auto"/>
        <w:right w:val="none" w:sz="0" w:space="0" w:color="auto"/>
      </w:divBdr>
    </w:div>
    <w:div w:id="1947618408">
      <w:bodyDiv w:val="1"/>
      <w:marLeft w:val="0"/>
      <w:marRight w:val="0"/>
      <w:marTop w:val="0"/>
      <w:marBottom w:val="0"/>
      <w:divBdr>
        <w:top w:val="none" w:sz="0" w:space="0" w:color="auto"/>
        <w:left w:val="none" w:sz="0" w:space="0" w:color="auto"/>
        <w:bottom w:val="none" w:sz="0" w:space="0" w:color="auto"/>
        <w:right w:val="none" w:sz="0" w:space="0" w:color="auto"/>
      </w:divBdr>
    </w:div>
    <w:div w:id="1980065809">
      <w:bodyDiv w:val="1"/>
      <w:marLeft w:val="0"/>
      <w:marRight w:val="0"/>
      <w:marTop w:val="0"/>
      <w:marBottom w:val="0"/>
      <w:divBdr>
        <w:top w:val="none" w:sz="0" w:space="0" w:color="auto"/>
        <w:left w:val="none" w:sz="0" w:space="0" w:color="auto"/>
        <w:bottom w:val="none" w:sz="0" w:space="0" w:color="auto"/>
        <w:right w:val="none" w:sz="0" w:space="0" w:color="auto"/>
      </w:divBdr>
    </w:div>
    <w:div w:id="1984462773">
      <w:bodyDiv w:val="1"/>
      <w:marLeft w:val="0"/>
      <w:marRight w:val="0"/>
      <w:marTop w:val="0"/>
      <w:marBottom w:val="0"/>
      <w:divBdr>
        <w:top w:val="none" w:sz="0" w:space="0" w:color="auto"/>
        <w:left w:val="none" w:sz="0" w:space="0" w:color="auto"/>
        <w:bottom w:val="none" w:sz="0" w:space="0" w:color="auto"/>
        <w:right w:val="none" w:sz="0" w:space="0" w:color="auto"/>
      </w:divBdr>
    </w:div>
    <w:div w:id="1985623104">
      <w:bodyDiv w:val="1"/>
      <w:marLeft w:val="0"/>
      <w:marRight w:val="0"/>
      <w:marTop w:val="0"/>
      <w:marBottom w:val="0"/>
      <w:divBdr>
        <w:top w:val="none" w:sz="0" w:space="0" w:color="auto"/>
        <w:left w:val="none" w:sz="0" w:space="0" w:color="auto"/>
        <w:bottom w:val="none" w:sz="0" w:space="0" w:color="auto"/>
        <w:right w:val="none" w:sz="0" w:space="0" w:color="auto"/>
      </w:divBdr>
    </w:div>
    <w:div w:id="2078241941">
      <w:bodyDiv w:val="1"/>
      <w:marLeft w:val="0"/>
      <w:marRight w:val="0"/>
      <w:marTop w:val="0"/>
      <w:marBottom w:val="0"/>
      <w:divBdr>
        <w:top w:val="none" w:sz="0" w:space="0" w:color="auto"/>
        <w:left w:val="none" w:sz="0" w:space="0" w:color="auto"/>
        <w:bottom w:val="none" w:sz="0" w:space="0" w:color="auto"/>
        <w:right w:val="none" w:sz="0" w:space="0" w:color="auto"/>
      </w:divBdr>
    </w:div>
    <w:div w:id="2094426124">
      <w:bodyDiv w:val="1"/>
      <w:marLeft w:val="0"/>
      <w:marRight w:val="0"/>
      <w:marTop w:val="0"/>
      <w:marBottom w:val="0"/>
      <w:divBdr>
        <w:top w:val="none" w:sz="0" w:space="0" w:color="auto"/>
        <w:left w:val="none" w:sz="0" w:space="0" w:color="auto"/>
        <w:bottom w:val="none" w:sz="0" w:space="0" w:color="auto"/>
        <w:right w:val="none" w:sz="0" w:space="0" w:color="auto"/>
      </w:divBdr>
    </w:div>
    <w:div w:id="2131387657">
      <w:bodyDiv w:val="1"/>
      <w:marLeft w:val="0"/>
      <w:marRight w:val="0"/>
      <w:marTop w:val="0"/>
      <w:marBottom w:val="0"/>
      <w:divBdr>
        <w:top w:val="none" w:sz="0" w:space="0" w:color="auto"/>
        <w:left w:val="none" w:sz="0" w:space="0" w:color="auto"/>
        <w:bottom w:val="none" w:sz="0" w:space="0" w:color="auto"/>
        <w:right w:val="none" w:sz="0" w:space="0" w:color="auto"/>
      </w:divBdr>
    </w:div>
    <w:div w:id="214685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inve.org.uy/novedad/inflacion-tendencial-continua-moderandose-2/" TargetMode="External"/><Relationship Id="rId22" Type="http://schemas.openxmlformats.org/officeDocument/2006/relationships/header" Target="header5.xml"/></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0B8FF-46F8-4F45-85BE-28CEF172A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3268</Words>
  <Characters>17979</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Contenido:</vt:lpstr>
    </vt:vector>
  </TitlesOfParts>
  <Company>cnv</Company>
  <LinksUpToDate>false</LinksUpToDate>
  <CharactersWithSpaces>21205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Contenido:</dc:title>
  <dc:creator>196mb</dc:creator>
  <cp:lastModifiedBy>Rafael</cp:lastModifiedBy>
  <cp:revision>8</cp:revision>
  <cp:lastPrinted>2016-07-29T19:08:00Z</cp:lastPrinted>
  <dcterms:created xsi:type="dcterms:W3CDTF">2016-08-29T18:23:00Z</dcterms:created>
  <dcterms:modified xsi:type="dcterms:W3CDTF">2016-08-29T19:58:00Z</dcterms:modified>
</cp:coreProperties>
</file>